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宋体" w:hAnsi="宋体" w:eastAsia="宋体" w:cs="宋体"/>
          <w:kern w:val="0"/>
          <w:sz w:val="52"/>
          <w:szCs w:val="52"/>
        </w:rPr>
      </w:pPr>
      <w:r>
        <w:rPr>
          <w:rFonts w:hint="eastAsia" w:ascii="宋体" w:hAnsi="宋体" w:eastAsia="宋体" w:cs="宋体"/>
          <w:kern w:val="0"/>
          <w:sz w:val="52"/>
          <w:szCs w:val="52"/>
        </w:rPr>
        <w:t>驿达公司所属服务区除四害服务项目</w:t>
      </w:r>
    </w:p>
    <w:p>
      <w:pPr>
        <w:keepNext/>
        <w:keepLines/>
        <w:spacing w:before="240" w:after="240" w:line="360" w:lineRule="auto"/>
        <w:jc w:val="center"/>
        <w:outlineLvl w:val="0"/>
        <w:rPr>
          <w:rFonts w:ascii="宋体" w:hAnsi="宋体" w:eastAsia="宋体" w:cs="宋体"/>
          <w:bCs/>
          <w:kern w:val="44"/>
          <w:sz w:val="44"/>
          <w:szCs w:val="44"/>
        </w:rPr>
      </w:pPr>
    </w:p>
    <w:p>
      <w:pPr>
        <w:tabs>
          <w:tab w:val="left" w:pos="5520"/>
        </w:tabs>
        <w:spacing w:line="360" w:lineRule="auto"/>
        <w:jc w:val="left"/>
        <w:rPr>
          <w:rFonts w:ascii="宋体" w:hAnsi="宋体" w:eastAsia="宋体" w:cs="宋体"/>
          <w:kern w:val="0"/>
          <w:sz w:val="22"/>
          <w:szCs w:val="22"/>
        </w:rPr>
      </w:pPr>
    </w:p>
    <w:p>
      <w:pPr>
        <w:spacing w:line="360" w:lineRule="auto"/>
        <w:jc w:val="left"/>
        <w:rPr>
          <w:rFonts w:ascii="宋体" w:hAnsi="宋体" w:eastAsia="宋体" w:cs="宋体"/>
          <w:kern w:val="0"/>
          <w:sz w:val="22"/>
          <w:szCs w:val="22"/>
        </w:rPr>
      </w:pPr>
    </w:p>
    <w:p>
      <w:pPr>
        <w:spacing w:line="360" w:lineRule="auto"/>
        <w:jc w:val="center"/>
        <w:rPr>
          <w:rFonts w:ascii="宋体" w:hAnsi="宋体" w:eastAsia="宋体" w:cs="宋体"/>
          <w:kern w:val="0"/>
          <w:sz w:val="52"/>
          <w:szCs w:val="52"/>
        </w:rPr>
      </w:pPr>
      <w:r>
        <w:rPr>
          <w:rFonts w:hint="eastAsia" w:ascii="宋体" w:hAnsi="宋体" w:eastAsia="宋体" w:cs="宋体"/>
          <w:kern w:val="0"/>
          <w:sz w:val="52"/>
          <w:szCs w:val="52"/>
        </w:rPr>
        <w:t>询</w:t>
      </w:r>
    </w:p>
    <w:p>
      <w:pPr>
        <w:spacing w:line="360" w:lineRule="auto"/>
        <w:jc w:val="center"/>
        <w:rPr>
          <w:rFonts w:ascii="宋体" w:hAnsi="宋体" w:eastAsia="宋体" w:cs="宋体"/>
          <w:kern w:val="0"/>
          <w:sz w:val="52"/>
          <w:szCs w:val="52"/>
        </w:rPr>
      </w:pPr>
      <w:r>
        <w:rPr>
          <w:rFonts w:hint="eastAsia" w:ascii="宋体" w:hAnsi="宋体" w:eastAsia="宋体" w:cs="宋体"/>
          <w:kern w:val="0"/>
          <w:sz w:val="52"/>
          <w:szCs w:val="52"/>
        </w:rPr>
        <w:t>比</w:t>
      </w:r>
    </w:p>
    <w:p>
      <w:pPr>
        <w:spacing w:line="360" w:lineRule="auto"/>
        <w:jc w:val="center"/>
        <w:rPr>
          <w:rFonts w:ascii="宋体" w:hAnsi="宋体" w:eastAsia="宋体" w:cs="宋体"/>
          <w:kern w:val="0"/>
          <w:sz w:val="52"/>
          <w:szCs w:val="52"/>
        </w:rPr>
      </w:pPr>
      <w:r>
        <w:rPr>
          <w:rFonts w:ascii="宋体" w:hAnsi="宋体" w:eastAsia="宋体" w:cs="宋体"/>
          <w:kern w:val="0"/>
          <w:sz w:val="52"/>
          <w:szCs w:val="52"/>
        </w:rPr>
        <w:t>文</w:t>
      </w:r>
    </w:p>
    <w:p>
      <w:pPr>
        <w:spacing w:line="360" w:lineRule="auto"/>
        <w:jc w:val="center"/>
        <w:rPr>
          <w:rFonts w:ascii="宋体" w:hAnsi="宋体" w:eastAsia="宋体" w:cs="宋体"/>
          <w:kern w:val="0"/>
          <w:sz w:val="52"/>
          <w:szCs w:val="52"/>
        </w:rPr>
      </w:pPr>
      <w:r>
        <w:rPr>
          <w:rFonts w:ascii="宋体" w:hAnsi="宋体" w:eastAsia="宋体" w:cs="宋体"/>
          <w:kern w:val="0"/>
          <w:sz w:val="52"/>
          <w:szCs w:val="52"/>
        </w:rPr>
        <w:t>件</w:t>
      </w:r>
    </w:p>
    <w:p>
      <w:pPr>
        <w:spacing w:line="360" w:lineRule="auto"/>
        <w:jc w:val="left"/>
        <w:rPr>
          <w:rFonts w:ascii="宋体" w:hAnsi="宋体" w:eastAsia="宋体" w:cs="宋体"/>
          <w:kern w:val="0"/>
          <w:sz w:val="22"/>
          <w:szCs w:val="22"/>
        </w:rPr>
      </w:pPr>
    </w:p>
    <w:p>
      <w:pPr>
        <w:spacing w:line="360" w:lineRule="auto"/>
        <w:jc w:val="left"/>
        <w:rPr>
          <w:rFonts w:ascii="宋体" w:hAnsi="宋体" w:eastAsia="宋体" w:cs="宋体"/>
          <w:kern w:val="0"/>
          <w:sz w:val="22"/>
          <w:szCs w:val="22"/>
        </w:rPr>
      </w:pPr>
    </w:p>
    <w:p>
      <w:pPr>
        <w:spacing w:line="360" w:lineRule="auto"/>
        <w:jc w:val="left"/>
        <w:rPr>
          <w:rFonts w:ascii="宋体" w:hAnsi="宋体" w:eastAsia="宋体" w:cs="宋体"/>
          <w:kern w:val="0"/>
          <w:sz w:val="22"/>
          <w:szCs w:val="22"/>
        </w:rPr>
      </w:pPr>
    </w:p>
    <w:p>
      <w:pPr>
        <w:spacing w:line="360" w:lineRule="auto"/>
        <w:jc w:val="left"/>
        <w:rPr>
          <w:rFonts w:ascii="宋体" w:hAnsi="宋体" w:eastAsia="宋体" w:cs="宋体"/>
          <w:kern w:val="0"/>
          <w:sz w:val="22"/>
          <w:szCs w:val="22"/>
        </w:rPr>
      </w:pPr>
    </w:p>
    <w:p>
      <w:pPr>
        <w:spacing w:line="360" w:lineRule="auto"/>
        <w:jc w:val="center"/>
        <w:rPr>
          <w:rFonts w:ascii="宋体" w:hAnsi="宋体" w:eastAsia="宋体" w:cs="宋体"/>
          <w:sz w:val="22"/>
          <w:szCs w:val="22"/>
        </w:rPr>
      </w:pPr>
    </w:p>
    <w:p>
      <w:pPr>
        <w:spacing w:line="360" w:lineRule="auto"/>
        <w:jc w:val="center"/>
        <w:rPr>
          <w:rFonts w:ascii="宋体" w:hAnsi="宋体" w:eastAsia="宋体" w:cs="宋体"/>
          <w:sz w:val="22"/>
          <w:szCs w:val="22"/>
        </w:rPr>
      </w:pPr>
    </w:p>
    <w:p>
      <w:pPr>
        <w:spacing w:line="360" w:lineRule="auto"/>
        <w:jc w:val="center"/>
        <w:rPr>
          <w:rFonts w:ascii="宋体" w:hAnsi="宋体" w:eastAsia="宋体" w:cs="宋体"/>
        </w:rPr>
      </w:pPr>
      <w:r>
        <w:rPr>
          <w:rFonts w:hint="eastAsia" w:ascii="宋体" w:hAnsi="宋体" w:eastAsia="宋体" w:cs="宋体"/>
        </w:rPr>
        <w:t>采购人：安徽省驿达高速公路服务区经营管理有限公司</w:t>
      </w:r>
    </w:p>
    <w:p>
      <w:pPr>
        <w:spacing w:line="360" w:lineRule="auto"/>
        <w:jc w:val="center"/>
        <w:rPr>
          <w:rFonts w:ascii="宋体" w:hAnsi="宋体" w:eastAsia="宋体" w:cs="宋体"/>
        </w:rPr>
      </w:pPr>
    </w:p>
    <w:p>
      <w:pPr>
        <w:spacing w:line="360" w:lineRule="auto"/>
        <w:jc w:val="center"/>
        <w:rPr>
          <w:rFonts w:ascii="宋体" w:hAnsi="宋体" w:eastAsia="宋体" w:cs="宋体"/>
        </w:rPr>
        <w:sectPr>
          <w:headerReference r:id="rId4" w:type="first"/>
          <w:footerReference r:id="rId7" w:type="first"/>
          <w:headerReference r:id="rId3" w:type="default"/>
          <w:footerReference r:id="rId5" w:type="default"/>
          <w:footerReference r:id="rId6" w:type="even"/>
          <w:pgSz w:w="11850" w:h="16783"/>
          <w:pgMar w:top="1440" w:right="1077" w:bottom="1440" w:left="1247" w:header="851" w:footer="992" w:gutter="0"/>
          <w:pgNumType w:start="1"/>
          <w:cols w:space="720" w:num="1"/>
          <w:titlePg/>
          <w:docGrid w:type="lines" w:linePitch="312" w:charSpace="0"/>
        </w:sectPr>
      </w:pPr>
      <w:r>
        <w:rPr>
          <w:rFonts w:hint="eastAsia" w:ascii="宋体" w:hAnsi="宋体" w:eastAsia="宋体" w:cs="宋体"/>
        </w:rPr>
        <w:t>二〇一九年五月</w:t>
      </w:r>
    </w:p>
    <w:p>
      <w:pPr>
        <w:tabs>
          <w:tab w:val="left" w:pos="360"/>
          <w:tab w:val="left" w:pos="540"/>
          <w:tab w:val="left" w:pos="3600"/>
          <w:tab w:val="left" w:pos="3780"/>
          <w:tab w:val="left" w:pos="8460"/>
          <w:tab w:val="left" w:pos="9180"/>
        </w:tabs>
        <w:adjustRightInd w:val="0"/>
        <w:snapToGrid w:val="0"/>
        <w:ind w:right="-32" w:rightChars="-10"/>
        <w:rPr>
          <w:rFonts w:ascii="宋体" w:hAnsi="宋体" w:eastAsia="宋体"/>
          <w:bCs/>
        </w:rPr>
      </w:pPr>
    </w:p>
    <w:p>
      <w:pPr>
        <w:spacing w:line="360" w:lineRule="auto"/>
        <w:jc w:val="center"/>
        <w:rPr>
          <w:rFonts w:ascii="宋体" w:hAnsi="宋体" w:eastAsia="宋体" w:cs="宋体"/>
          <w:b/>
          <w:bCs/>
          <w:sz w:val="36"/>
          <w:szCs w:val="36"/>
        </w:rPr>
      </w:pPr>
    </w:p>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目   录</w:t>
      </w:r>
    </w:p>
    <w:p>
      <w:pPr>
        <w:spacing w:line="360" w:lineRule="auto"/>
        <w:jc w:val="center"/>
        <w:rPr>
          <w:rFonts w:ascii="宋体" w:hAnsi="宋体" w:eastAsia="宋体" w:cs="宋体"/>
          <w:b/>
          <w:bCs/>
          <w:sz w:val="36"/>
          <w:szCs w:val="36"/>
        </w:rPr>
      </w:pPr>
    </w:p>
    <w:p>
      <w:pPr>
        <w:tabs>
          <w:tab w:val="right" w:leader="dot" w:pos="9526"/>
        </w:tabs>
        <w:spacing w:line="480" w:lineRule="auto"/>
        <w:jc w:val="left"/>
        <w:rPr>
          <w:b/>
          <w:bCs/>
          <w:sz w:val="30"/>
          <w:szCs w:val="30"/>
        </w:rPr>
      </w:pPr>
      <w:r>
        <w:rPr>
          <w:rFonts w:hint="eastAsia" w:ascii="宋体" w:hAnsi="宋体" w:cs="宋体"/>
          <w:b/>
          <w:bCs/>
          <w:sz w:val="30"/>
          <w:szCs w:val="30"/>
        </w:rPr>
        <w:fldChar w:fldCharType="begin"/>
      </w:r>
      <w:r>
        <w:rPr>
          <w:rFonts w:hint="eastAsia" w:ascii="宋体" w:hAnsi="宋体" w:cs="宋体"/>
          <w:sz w:val="30"/>
          <w:szCs w:val="30"/>
        </w:rPr>
        <w:instrText xml:space="preserve">TOC \o "1-1" \h \u </w:instrText>
      </w:r>
      <w:r>
        <w:rPr>
          <w:rFonts w:hint="eastAsia" w:ascii="宋体" w:hAnsi="宋体" w:cs="宋体"/>
          <w:b/>
          <w:bCs/>
          <w:sz w:val="30"/>
          <w:szCs w:val="30"/>
        </w:rPr>
        <w:fldChar w:fldCharType="separate"/>
      </w:r>
      <w:r>
        <w:fldChar w:fldCharType="begin"/>
      </w:r>
      <w:r>
        <w:instrText xml:space="preserve"> HYPERLINK \l "_Toc12350" </w:instrText>
      </w:r>
      <w:r>
        <w:fldChar w:fldCharType="separate"/>
      </w:r>
      <w:r>
        <w:rPr>
          <w:rFonts w:hint="eastAsia"/>
          <w:sz w:val="30"/>
          <w:szCs w:val="30"/>
        </w:rPr>
        <w:t>第一章  询比公告</w:t>
      </w:r>
      <w:r>
        <w:rPr>
          <w:rFonts w:hint="eastAsia"/>
          <w:sz w:val="30"/>
          <w:szCs w:val="30"/>
        </w:rPr>
        <w:fldChar w:fldCharType="end"/>
      </w:r>
    </w:p>
    <w:p>
      <w:pPr>
        <w:tabs>
          <w:tab w:val="right" w:leader="dot" w:pos="9526"/>
        </w:tabs>
        <w:spacing w:line="480" w:lineRule="auto"/>
        <w:jc w:val="left"/>
        <w:rPr>
          <w:b/>
          <w:bCs/>
          <w:sz w:val="30"/>
          <w:szCs w:val="30"/>
        </w:rPr>
      </w:pPr>
      <w:r>
        <w:fldChar w:fldCharType="begin"/>
      </w:r>
      <w:r>
        <w:instrText xml:space="preserve"> HYPERLINK \l "_Toc3978" </w:instrText>
      </w:r>
      <w:r>
        <w:fldChar w:fldCharType="separate"/>
      </w:r>
      <w:r>
        <w:rPr>
          <w:rFonts w:hint="eastAsia"/>
          <w:sz w:val="30"/>
          <w:szCs w:val="30"/>
        </w:rPr>
        <w:t>第二章  竞标人须知</w:t>
      </w:r>
      <w:r>
        <w:rPr>
          <w:rFonts w:hint="eastAsia"/>
          <w:sz w:val="30"/>
          <w:szCs w:val="30"/>
        </w:rPr>
        <w:fldChar w:fldCharType="end"/>
      </w:r>
    </w:p>
    <w:p>
      <w:pPr>
        <w:tabs>
          <w:tab w:val="right" w:leader="dot" w:pos="9526"/>
        </w:tabs>
        <w:spacing w:line="480" w:lineRule="auto"/>
        <w:jc w:val="left"/>
        <w:rPr>
          <w:b/>
          <w:bCs/>
          <w:sz w:val="30"/>
          <w:szCs w:val="30"/>
        </w:rPr>
      </w:pPr>
      <w:r>
        <w:fldChar w:fldCharType="begin"/>
      </w:r>
      <w:r>
        <w:instrText xml:space="preserve"> HYPERLINK \l "_Toc3338" </w:instrText>
      </w:r>
      <w:r>
        <w:fldChar w:fldCharType="separate"/>
      </w:r>
      <w:r>
        <w:rPr>
          <w:sz w:val="30"/>
          <w:szCs w:val="30"/>
        </w:rPr>
        <w:t>第三章  评标办法</w:t>
      </w:r>
      <w:r>
        <w:rPr>
          <w:sz w:val="30"/>
          <w:szCs w:val="30"/>
        </w:rPr>
        <w:fldChar w:fldCharType="end"/>
      </w:r>
    </w:p>
    <w:p>
      <w:pPr>
        <w:tabs>
          <w:tab w:val="right" w:leader="dot" w:pos="9526"/>
        </w:tabs>
        <w:spacing w:line="480" w:lineRule="auto"/>
        <w:jc w:val="left"/>
        <w:rPr>
          <w:b/>
          <w:bCs/>
          <w:sz w:val="30"/>
          <w:szCs w:val="30"/>
        </w:rPr>
      </w:pPr>
      <w:r>
        <w:fldChar w:fldCharType="begin"/>
      </w:r>
      <w:r>
        <w:instrText xml:space="preserve"> HYPERLINK \l "_Toc30418" </w:instrText>
      </w:r>
      <w:r>
        <w:fldChar w:fldCharType="separate"/>
      </w:r>
      <w:r>
        <w:rPr>
          <w:sz w:val="30"/>
          <w:szCs w:val="30"/>
        </w:rPr>
        <w:t>第四章  合同条款及格式</w:t>
      </w:r>
      <w:r>
        <w:rPr>
          <w:sz w:val="30"/>
          <w:szCs w:val="30"/>
        </w:rPr>
        <w:fldChar w:fldCharType="end"/>
      </w:r>
    </w:p>
    <w:p>
      <w:pPr>
        <w:tabs>
          <w:tab w:val="right" w:leader="dot" w:pos="9526"/>
        </w:tabs>
        <w:spacing w:line="480" w:lineRule="auto"/>
        <w:jc w:val="left"/>
        <w:rPr>
          <w:b/>
          <w:bCs/>
          <w:sz w:val="30"/>
          <w:szCs w:val="30"/>
        </w:rPr>
      </w:pPr>
      <w:r>
        <w:fldChar w:fldCharType="begin"/>
      </w:r>
      <w:r>
        <w:instrText xml:space="preserve"> HYPERLINK \l "_Toc24137" </w:instrText>
      </w:r>
      <w:r>
        <w:fldChar w:fldCharType="separate"/>
      </w:r>
      <w:r>
        <w:rPr>
          <w:rFonts w:hint="eastAsia"/>
          <w:sz w:val="30"/>
          <w:szCs w:val="30"/>
        </w:rPr>
        <w:t>第五章  响应文件格式</w:t>
      </w:r>
      <w:r>
        <w:rPr>
          <w:rFonts w:hint="eastAsia"/>
          <w:sz w:val="30"/>
          <w:szCs w:val="30"/>
        </w:rPr>
        <w:fldChar w:fldCharType="end"/>
      </w:r>
    </w:p>
    <w:p>
      <w:pPr>
        <w:tabs>
          <w:tab w:val="right" w:leader="dot" w:pos="9526"/>
        </w:tabs>
        <w:spacing w:line="480" w:lineRule="auto"/>
        <w:jc w:val="left"/>
        <w:rPr>
          <w:b/>
          <w:bCs/>
          <w:sz w:val="30"/>
          <w:szCs w:val="30"/>
        </w:rPr>
      </w:pPr>
    </w:p>
    <w:p>
      <w:pPr>
        <w:tabs>
          <w:tab w:val="right" w:leader="dot" w:pos="9526"/>
        </w:tabs>
        <w:spacing w:line="480" w:lineRule="auto"/>
        <w:jc w:val="left"/>
        <w:rPr>
          <w:b/>
          <w:bCs/>
          <w:sz w:val="30"/>
          <w:szCs w:val="30"/>
        </w:rPr>
      </w:pPr>
    </w:p>
    <w:p>
      <w:pPr>
        <w:tabs>
          <w:tab w:val="right" w:leader="dot" w:pos="9526"/>
        </w:tabs>
        <w:spacing w:before="120" w:after="120"/>
        <w:jc w:val="center"/>
        <w:rPr>
          <w:rFonts w:ascii="宋体" w:hAnsi="宋体" w:eastAsia="宋体" w:cs="宋体"/>
          <w:caps/>
          <w:sz w:val="28"/>
          <w:szCs w:val="28"/>
        </w:rPr>
        <w:sectPr>
          <w:headerReference r:id="rId9" w:type="first"/>
          <w:footerReference r:id="rId11" w:type="first"/>
          <w:headerReference r:id="rId8" w:type="default"/>
          <w:footerReference r:id="rId10" w:type="default"/>
          <w:pgSz w:w="11850" w:h="16783"/>
          <w:pgMar w:top="1440" w:right="1077" w:bottom="1440" w:left="1247" w:header="851" w:footer="992" w:gutter="0"/>
          <w:cols w:space="720" w:num="1"/>
          <w:titlePg/>
          <w:docGrid w:linePitch="312" w:charSpace="0"/>
        </w:sectPr>
      </w:pPr>
      <w:r>
        <w:rPr>
          <w:rFonts w:hint="eastAsia" w:ascii="宋体" w:hAnsi="宋体" w:cs="宋体"/>
          <w:b/>
          <w:bCs/>
          <w:sz w:val="30"/>
          <w:szCs w:val="30"/>
        </w:rPr>
        <w:fldChar w:fldCharType="end"/>
      </w:r>
      <w:r>
        <w:rPr>
          <w:rFonts w:ascii="宋体" w:hAnsi="宋体" w:cs="宋体"/>
          <w:sz w:val="28"/>
          <w:szCs w:val="28"/>
        </w:rPr>
        <w:t xml:space="preserve">                                 </w:t>
      </w:r>
    </w:p>
    <w:p>
      <w:pPr>
        <w:keepNext/>
        <w:keepLines/>
        <w:spacing w:before="240" w:after="240" w:line="400" w:lineRule="exact"/>
        <w:ind w:firstLine="2640" w:firstLineChars="600"/>
        <w:outlineLvl w:val="0"/>
        <w:rPr>
          <w:rFonts w:ascii="宋体" w:hAnsi="宋体" w:eastAsia="宋体"/>
          <w:bCs/>
          <w:kern w:val="44"/>
          <w:sz w:val="44"/>
          <w:szCs w:val="44"/>
        </w:rPr>
      </w:pPr>
      <w:bookmarkStart w:id="0" w:name="_Toc12350"/>
      <w:r>
        <w:rPr>
          <w:rFonts w:hint="eastAsia" w:ascii="宋体" w:hAnsi="宋体" w:eastAsia="宋体"/>
          <w:bCs/>
          <w:kern w:val="44"/>
          <w:sz w:val="44"/>
          <w:szCs w:val="44"/>
        </w:rPr>
        <w:t>第一章  询比公告</w:t>
      </w:r>
      <w:bookmarkEnd w:id="0"/>
    </w:p>
    <w:p>
      <w:pPr>
        <w:jc w:val="center"/>
        <w:rPr>
          <w:rFonts w:ascii="宋体" w:hAnsi="宋体" w:eastAsia="宋体"/>
          <w:bCs/>
          <w:color w:val="000000"/>
          <w:sz w:val="44"/>
          <w:szCs w:val="44"/>
        </w:rPr>
      </w:pPr>
      <w:r>
        <w:rPr>
          <w:rFonts w:hint="eastAsia" w:ascii="宋体" w:hAnsi="宋体" w:eastAsia="宋体"/>
          <w:bCs/>
          <w:color w:val="000000"/>
          <w:sz w:val="44"/>
          <w:szCs w:val="44"/>
        </w:rPr>
        <w:t>驿达公司所属服务区除四害服务项目公告</w:t>
      </w:r>
    </w:p>
    <w:p>
      <w:pPr>
        <w:widowControl/>
        <w:adjustRightInd w:val="0"/>
        <w:snapToGrid w:val="0"/>
        <w:spacing w:line="360" w:lineRule="auto"/>
        <w:ind w:firstLine="640" w:firstLineChars="200"/>
        <w:jc w:val="left"/>
        <w:rPr>
          <w:rFonts w:ascii="仿宋" w:hAnsi="仿宋" w:eastAsia="仿宋" w:cs="仿宋"/>
          <w:color w:val="000000"/>
          <w:kern w:val="0"/>
        </w:rPr>
      </w:pPr>
    </w:p>
    <w:p>
      <w:pPr>
        <w:widowControl/>
        <w:adjustRightInd w:val="0"/>
        <w:snapToGrid w:val="0"/>
        <w:spacing w:line="360" w:lineRule="auto"/>
        <w:ind w:firstLine="640" w:firstLineChars="200"/>
        <w:jc w:val="left"/>
        <w:rPr>
          <w:rFonts w:ascii="仿宋" w:hAnsi="仿宋" w:eastAsia="仿宋" w:cs="仿宋"/>
          <w:color w:val="000000"/>
          <w:kern w:val="0"/>
        </w:rPr>
      </w:pPr>
      <w:r>
        <w:rPr>
          <w:rFonts w:hint="eastAsia" w:ascii="仿宋" w:hAnsi="仿宋" w:eastAsia="仿宋" w:cs="仿宋"/>
          <w:color w:val="000000"/>
          <w:kern w:val="0"/>
        </w:rPr>
        <w:t>本采购项目“驿达公司所属服务区除四害服务项目”已由安徽省驿达高速公路服务区经营管理有限公司批准实施,采购人为安徽省驿达高速公路服务区经营管理有限公司。现对此项目进行公开询比采购，欢迎符合条件的竞标人参加。</w:t>
      </w:r>
    </w:p>
    <w:p>
      <w:pPr>
        <w:widowControl/>
        <w:adjustRightInd w:val="0"/>
        <w:snapToGrid w:val="0"/>
        <w:spacing w:line="360" w:lineRule="auto"/>
        <w:ind w:firstLine="643" w:firstLineChars="200"/>
        <w:jc w:val="left"/>
        <w:rPr>
          <w:rFonts w:ascii="仿宋" w:hAnsi="仿宋" w:eastAsia="仿宋" w:cs="仿宋"/>
          <w:b/>
          <w:bCs/>
          <w:color w:val="000000"/>
        </w:rPr>
      </w:pPr>
      <w:r>
        <w:rPr>
          <w:rFonts w:hint="eastAsia" w:ascii="仿宋" w:hAnsi="仿宋" w:eastAsia="仿宋" w:cs="仿宋"/>
          <w:b/>
          <w:bCs/>
          <w:color w:val="000000"/>
        </w:rPr>
        <w:t>一、项目概况</w:t>
      </w:r>
    </w:p>
    <w:p>
      <w:pPr>
        <w:widowControl/>
        <w:adjustRightInd w:val="0"/>
        <w:snapToGrid w:val="0"/>
        <w:spacing w:line="360" w:lineRule="auto"/>
        <w:ind w:firstLine="640" w:firstLineChars="200"/>
        <w:jc w:val="left"/>
        <w:rPr>
          <w:rFonts w:ascii="仿宋" w:hAnsi="仿宋" w:eastAsia="仿宋" w:cs="仿宋"/>
          <w:color w:val="000000"/>
          <w:kern w:val="0"/>
        </w:rPr>
      </w:pPr>
      <w:r>
        <w:rPr>
          <w:rFonts w:ascii="仿宋" w:hAnsi="仿宋" w:eastAsia="仿宋" w:cs="仿宋"/>
          <w:color w:val="000000"/>
          <w:kern w:val="0"/>
        </w:rPr>
        <w:t>1</w:t>
      </w:r>
      <w:r>
        <w:rPr>
          <w:rFonts w:hint="eastAsia" w:ascii="仿宋" w:hAnsi="仿宋" w:eastAsia="仿宋" w:cs="仿宋"/>
          <w:color w:val="000000"/>
          <w:kern w:val="0"/>
        </w:rPr>
        <w:t>、项目名称：驿达公司所属服务区除四害服务项目</w:t>
      </w:r>
    </w:p>
    <w:p>
      <w:pPr>
        <w:spacing w:line="360" w:lineRule="auto"/>
        <w:ind w:firstLine="660"/>
        <w:jc w:val="left"/>
        <w:rPr>
          <w:rFonts w:ascii="仿宋" w:hAnsi="仿宋" w:eastAsia="仿宋" w:cs="仿宋"/>
          <w:kern w:val="0"/>
        </w:rPr>
      </w:pPr>
      <w:r>
        <w:rPr>
          <w:rFonts w:ascii="仿宋" w:hAnsi="仿宋" w:eastAsia="仿宋" w:cs="仿宋"/>
          <w:color w:val="000000"/>
          <w:kern w:val="0"/>
        </w:rPr>
        <w:t>2</w:t>
      </w:r>
      <w:r>
        <w:rPr>
          <w:rFonts w:hint="eastAsia" w:ascii="仿宋" w:hAnsi="仿宋" w:eastAsia="仿宋" w:cs="仿宋"/>
          <w:color w:val="000000"/>
          <w:kern w:val="0"/>
        </w:rPr>
        <w:t>、项目地点：</w:t>
      </w:r>
      <w:r>
        <w:rPr>
          <w:rFonts w:hint="eastAsia" w:ascii="仿宋" w:hAnsi="仿宋" w:eastAsia="仿宋" w:cs="仿宋"/>
          <w:kern w:val="0"/>
        </w:rPr>
        <w:t>新桥</w:t>
      </w:r>
      <w:r>
        <w:rPr>
          <w:rFonts w:ascii="仿宋" w:hAnsi="仿宋" w:eastAsia="仿宋" w:cs="仿宋"/>
          <w:kern w:val="0"/>
        </w:rPr>
        <w:t>、</w:t>
      </w:r>
      <w:r>
        <w:rPr>
          <w:rFonts w:hint="eastAsia" w:ascii="仿宋" w:hAnsi="仿宋" w:eastAsia="仿宋" w:cs="仿宋"/>
          <w:kern w:val="0"/>
        </w:rPr>
        <w:t>肥东</w:t>
      </w:r>
      <w:r>
        <w:rPr>
          <w:rFonts w:ascii="仿宋" w:hAnsi="仿宋" w:eastAsia="仿宋" w:cs="仿宋"/>
          <w:kern w:val="0"/>
        </w:rPr>
        <w:t>、</w:t>
      </w:r>
      <w:r>
        <w:rPr>
          <w:rFonts w:hint="eastAsia" w:ascii="仿宋" w:hAnsi="仿宋" w:eastAsia="仿宋" w:cs="仿宋"/>
          <w:kern w:val="0"/>
        </w:rPr>
        <w:t>龙门寺</w:t>
      </w:r>
      <w:r>
        <w:rPr>
          <w:rFonts w:ascii="仿宋" w:hAnsi="仿宋" w:eastAsia="仿宋" w:cs="仿宋"/>
          <w:kern w:val="0"/>
        </w:rPr>
        <w:t>等</w:t>
      </w:r>
      <w:r>
        <w:rPr>
          <w:rFonts w:hint="eastAsia" w:ascii="仿宋" w:hAnsi="仿宋" w:eastAsia="仿宋" w:cs="仿宋"/>
          <w:kern w:val="0"/>
        </w:rPr>
        <w:t>68对</w:t>
      </w:r>
      <w:r>
        <w:rPr>
          <w:rFonts w:ascii="仿宋" w:hAnsi="仿宋" w:eastAsia="仿宋" w:cs="仿宋"/>
          <w:kern w:val="0"/>
        </w:rPr>
        <w:t>服务</w:t>
      </w:r>
      <w:r>
        <w:rPr>
          <w:rFonts w:hint="eastAsia" w:ascii="仿宋" w:hAnsi="仿宋" w:eastAsia="仿宋" w:cs="仿宋"/>
          <w:kern w:val="0"/>
        </w:rPr>
        <w:t>区</w:t>
      </w:r>
    </w:p>
    <w:p>
      <w:pPr>
        <w:widowControl/>
        <w:adjustRightInd w:val="0"/>
        <w:snapToGrid w:val="0"/>
        <w:spacing w:line="360" w:lineRule="auto"/>
        <w:ind w:firstLine="640" w:firstLineChars="200"/>
        <w:jc w:val="left"/>
        <w:rPr>
          <w:rFonts w:ascii="仿宋" w:hAnsi="仿宋" w:eastAsia="仿宋" w:cs="仿宋"/>
          <w:color w:val="000000"/>
          <w:kern w:val="0"/>
        </w:rPr>
      </w:pPr>
      <w:r>
        <w:rPr>
          <w:rFonts w:hint="eastAsia" w:ascii="仿宋" w:hAnsi="仿宋" w:eastAsia="仿宋" w:cs="仿宋"/>
          <w:color w:val="000000"/>
          <w:kern w:val="0"/>
        </w:rPr>
        <w:t>3、资金来源：业主自筹</w:t>
      </w:r>
    </w:p>
    <w:p>
      <w:pPr>
        <w:widowControl/>
        <w:adjustRightInd w:val="0"/>
        <w:snapToGrid w:val="0"/>
        <w:spacing w:line="360" w:lineRule="auto"/>
        <w:ind w:firstLine="640" w:firstLineChars="200"/>
        <w:jc w:val="left"/>
        <w:rPr>
          <w:rFonts w:ascii="仿宋" w:hAnsi="仿宋" w:eastAsia="仿宋" w:cs="仿宋"/>
          <w:color w:val="000000"/>
          <w:kern w:val="0"/>
        </w:rPr>
      </w:pPr>
      <w:r>
        <w:rPr>
          <w:rFonts w:hint="eastAsia" w:ascii="仿宋" w:hAnsi="仿宋" w:eastAsia="仿宋" w:cs="仿宋"/>
          <w:color w:val="000000"/>
          <w:kern w:val="0"/>
        </w:rPr>
        <w:t>4、项目概况：根据服务区运营管理需求，为提高食品安全，加强环境服务管理，采取有效措施，拟对</w:t>
      </w:r>
      <w:r>
        <w:rPr>
          <w:rFonts w:hint="eastAsia" w:ascii="仿宋" w:hAnsi="仿宋" w:eastAsia="仿宋" w:cs="仿宋"/>
          <w:kern w:val="0"/>
        </w:rPr>
        <w:t>新桥</w:t>
      </w:r>
      <w:r>
        <w:rPr>
          <w:rFonts w:ascii="仿宋" w:hAnsi="仿宋" w:eastAsia="仿宋" w:cs="仿宋"/>
          <w:kern w:val="0"/>
        </w:rPr>
        <w:t>、</w:t>
      </w:r>
      <w:r>
        <w:rPr>
          <w:rFonts w:hint="eastAsia" w:ascii="仿宋" w:hAnsi="仿宋" w:eastAsia="仿宋" w:cs="仿宋"/>
          <w:kern w:val="0"/>
        </w:rPr>
        <w:t>肥东</w:t>
      </w:r>
      <w:r>
        <w:rPr>
          <w:rFonts w:ascii="仿宋" w:hAnsi="仿宋" w:eastAsia="仿宋" w:cs="仿宋"/>
          <w:kern w:val="0"/>
        </w:rPr>
        <w:t>、</w:t>
      </w:r>
      <w:r>
        <w:rPr>
          <w:rFonts w:hint="eastAsia" w:ascii="仿宋" w:hAnsi="仿宋" w:eastAsia="仿宋" w:cs="仿宋"/>
          <w:kern w:val="0"/>
        </w:rPr>
        <w:t>龙门寺</w:t>
      </w:r>
      <w:r>
        <w:rPr>
          <w:rFonts w:ascii="仿宋" w:hAnsi="仿宋" w:eastAsia="仿宋" w:cs="仿宋"/>
          <w:kern w:val="0"/>
        </w:rPr>
        <w:t>等</w:t>
      </w:r>
      <w:r>
        <w:rPr>
          <w:rFonts w:hint="eastAsia" w:ascii="仿宋" w:hAnsi="仿宋" w:eastAsia="仿宋" w:cs="仿宋"/>
          <w:color w:val="000000"/>
          <w:kern w:val="0"/>
        </w:rPr>
        <w:t>68对服务区进行除四害服务</w:t>
      </w:r>
      <w:r>
        <w:rPr>
          <w:rFonts w:ascii="仿宋" w:hAnsi="仿宋" w:eastAsia="仿宋" w:cs="仿宋"/>
          <w:color w:val="000000"/>
          <w:kern w:val="0"/>
        </w:rPr>
        <w:t>。</w:t>
      </w:r>
    </w:p>
    <w:p>
      <w:pPr>
        <w:widowControl/>
        <w:adjustRightInd w:val="0"/>
        <w:snapToGrid w:val="0"/>
        <w:spacing w:line="360" w:lineRule="auto"/>
        <w:ind w:firstLine="640" w:firstLineChars="200"/>
        <w:jc w:val="left"/>
        <w:rPr>
          <w:rFonts w:ascii="仿宋" w:hAnsi="仿宋" w:eastAsia="仿宋" w:cs="仿宋"/>
          <w:color w:val="000000"/>
          <w:kern w:val="0"/>
        </w:rPr>
      </w:pPr>
      <w:r>
        <w:rPr>
          <w:rFonts w:hint="eastAsia" w:ascii="仿宋" w:hAnsi="仿宋" w:eastAsia="仿宋" w:cs="仿宋"/>
          <w:color w:val="000000"/>
          <w:kern w:val="0"/>
        </w:rPr>
        <w:t>5、项目概算:47.6</w:t>
      </w:r>
      <w:r>
        <w:rPr>
          <w:rFonts w:ascii="仿宋" w:hAnsi="仿宋" w:eastAsia="仿宋" w:cs="仿宋"/>
          <w:color w:val="000000"/>
          <w:kern w:val="0"/>
        </w:rPr>
        <w:t>0</w:t>
      </w:r>
      <w:r>
        <w:rPr>
          <w:rFonts w:hint="eastAsia" w:ascii="仿宋" w:hAnsi="仿宋" w:eastAsia="仿宋" w:cs="仿宋"/>
          <w:color w:val="000000"/>
          <w:kern w:val="0"/>
        </w:rPr>
        <w:t>万元。</w:t>
      </w:r>
    </w:p>
    <w:p>
      <w:pPr>
        <w:widowControl/>
        <w:adjustRightInd w:val="0"/>
        <w:snapToGrid w:val="0"/>
        <w:spacing w:line="360" w:lineRule="auto"/>
        <w:ind w:firstLine="640" w:firstLineChars="200"/>
        <w:jc w:val="left"/>
        <w:rPr>
          <w:rFonts w:ascii="仿宋" w:hAnsi="仿宋" w:eastAsia="仿宋" w:cs="仿宋"/>
          <w:color w:val="000000"/>
          <w:kern w:val="0"/>
        </w:rPr>
      </w:pPr>
      <w:r>
        <w:rPr>
          <w:rFonts w:hint="eastAsia" w:ascii="仿宋" w:hAnsi="仿宋" w:eastAsia="仿宋" w:cs="仿宋"/>
          <w:color w:val="000000"/>
          <w:kern w:val="0"/>
        </w:rPr>
        <w:t>6、采购类别:服务类。</w:t>
      </w:r>
    </w:p>
    <w:p>
      <w:pPr>
        <w:adjustRightInd w:val="0"/>
        <w:snapToGrid w:val="0"/>
        <w:spacing w:line="360" w:lineRule="auto"/>
        <w:ind w:firstLine="640" w:firstLineChars="200"/>
        <w:rPr>
          <w:rFonts w:ascii="仿宋" w:hAnsi="仿宋" w:eastAsia="仿宋" w:cs="仿宋"/>
          <w:color w:val="000000"/>
          <w:kern w:val="0"/>
        </w:rPr>
      </w:pPr>
      <w:r>
        <w:rPr>
          <w:rFonts w:hint="eastAsia" w:ascii="仿宋" w:hAnsi="仿宋" w:eastAsia="仿宋" w:cs="仿宋"/>
          <w:color w:val="000000"/>
          <w:kern w:val="0"/>
        </w:rPr>
        <w:t>7、标段划分：本项目共1个标段。</w:t>
      </w:r>
    </w:p>
    <w:p>
      <w:pPr>
        <w:spacing w:line="360" w:lineRule="auto"/>
        <w:ind w:firstLine="640" w:firstLineChars="200"/>
        <w:rPr>
          <w:rFonts w:ascii="仿宋" w:hAnsi="仿宋" w:eastAsia="仿宋" w:cs="宋体"/>
          <w:bCs/>
        </w:rPr>
      </w:pPr>
      <w:r>
        <w:rPr>
          <w:rFonts w:hint="eastAsia" w:ascii="仿宋" w:hAnsi="仿宋" w:eastAsia="仿宋" w:cs="仿宋"/>
          <w:color w:val="000000"/>
          <w:kern w:val="0"/>
        </w:rPr>
        <w:t>8、服务周期：12个月，</w:t>
      </w:r>
      <w:r>
        <w:rPr>
          <w:rFonts w:hint="eastAsia" w:ascii="仿宋" w:hAnsi="仿宋" w:eastAsia="仿宋" w:cs="宋体"/>
          <w:bCs/>
        </w:rPr>
        <w:t xml:space="preserve"> 2019年6、7、8、10月对各服务区分别完成一次消杀，2020年第一季度及5月份对</w:t>
      </w:r>
      <w:r>
        <w:rPr>
          <w:rFonts w:ascii="仿宋" w:hAnsi="仿宋" w:eastAsia="仿宋" w:cs="宋体"/>
          <w:bCs/>
        </w:rPr>
        <w:t>各</w:t>
      </w:r>
      <w:r>
        <w:rPr>
          <w:rFonts w:hint="eastAsia" w:ascii="仿宋" w:hAnsi="仿宋" w:eastAsia="仿宋" w:cs="宋体"/>
          <w:bCs/>
        </w:rPr>
        <w:t>服务区分别完成一次消杀。2</w:t>
      </w:r>
      <w:r>
        <w:rPr>
          <w:rFonts w:ascii="仿宋" w:hAnsi="仿宋" w:eastAsia="仿宋" w:cs="宋体"/>
          <w:bCs/>
        </w:rPr>
        <w:t>019-2020</w:t>
      </w:r>
      <w:r>
        <w:rPr>
          <w:rFonts w:hint="eastAsia" w:ascii="仿宋" w:hAnsi="仿宋" w:eastAsia="仿宋" w:cs="宋体"/>
          <w:bCs/>
        </w:rPr>
        <w:t>年对每个服务区共计完成6次四害消杀</w:t>
      </w:r>
      <w:r>
        <w:rPr>
          <w:rFonts w:hint="eastAsia" w:ascii="仿宋" w:hAnsi="仿宋" w:eastAsia="仿宋" w:cs="宋体"/>
          <w:bCs/>
          <w:sz w:val="30"/>
          <w:szCs w:val="30"/>
        </w:rPr>
        <w:t>（</w:t>
      </w:r>
      <w:r>
        <w:rPr>
          <w:rFonts w:ascii="仿宋" w:hAnsi="仿宋" w:eastAsia="仿宋" w:cs="宋体"/>
          <w:bCs/>
          <w:sz w:val="30"/>
          <w:szCs w:val="30"/>
        </w:rPr>
        <w:t>68</w:t>
      </w:r>
      <w:r>
        <w:rPr>
          <w:rFonts w:hint="eastAsia" w:ascii="仿宋" w:hAnsi="仿宋" w:eastAsia="仿宋" w:cs="宋体"/>
          <w:bCs/>
          <w:sz w:val="30"/>
          <w:szCs w:val="30"/>
        </w:rPr>
        <w:t>对</w:t>
      </w:r>
      <w:r>
        <w:rPr>
          <w:rFonts w:ascii="仿宋" w:hAnsi="仿宋" w:eastAsia="仿宋" w:cs="宋体"/>
          <w:bCs/>
          <w:sz w:val="30"/>
          <w:szCs w:val="30"/>
        </w:rPr>
        <w:t>服务区</w:t>
      </w:r>
      <w:r>
        <w:rPr>
          <w:rFonts w:hint="eastAsia" w:ascii="仿宋" w:hAnsi="仿宋" w:eastAsia="仿宋" w:cs="宋体"/>
          <w:bCs/>
          <w:sz w:val="30"/>
          <w:szCs w:val="30"/>
        </w:rPr>
        <w:t>*6次/对</w:t>
      </w:r>
      <w:r>
        <w:rPr>
          <w:rFonts w:ascii="仿宋" w:hAnsi="仿宋" w:eastAsia="仿宋" w:cs="宋体"/>
          <w:bCs/>
          <w:sz w:val="30"/>
          <w:szCs w:val="30"/>
        </w:rPr>
        <w:t>服务区</w:t>
      </w:r>
      <w:r>
        <w:rPr>
          <w:rFonts w:hint="eastAsia" w:ascii="仿宋" w:hAnsi="仿宋" w:eastAsia="仿宋" w:cs="宋体"/>
          <w:bCs/>
          <w:sz w:val="30"/>
          <w:szCs w:val="30"/>
        </w:rPr>
        <w:t>=</w:t>
      </w:r>
      <w:r>
        <w:rPr>
          <w:rFonts w:ascii="仿宋" w:hAnsi="仿宋" w:eastAsia="仿宋" w:cs="宋体"/>
          <w:bCs/>
          <w:sz w:val="30"/>
          <w:szCs w:val="30"/>
        </w:rPr>
        <w:t>408</w:t>
      </w:r>
      <w:r>
        <w:rPr>
          <w:rFonts w:hint="eastAsia" w:ascii="仿宋" w:hAnsi="仿宋" w:eastAsia="仿宋" w:cs="宋体"/>
          <w:bCs/>
          <w:sz w:val="30"/>
          <w:szCs w:val="30"/>
        </w:rPr>
        <w:t>次</w:t>
      </w:r>
      <w:r>
        <w:rPr>
          <w:rFonts w:ascii="仿宋" w:hAnsi="仿宋" w:eastAsia="仿宋" w:cs="宋体"/>
          <w:bCs/>
          <w:sz w:val="30"/>
          <w:szCs w:val="30"/>
        </w:rPr>
        <w:t>）</w:t>
      </w:r>
      <w:r>
        <w:rPr>
          <w:rFonts w:hint="eastAsia" w:ascii="仿宋" w:hAnsi="仿宋" w:eastAsia="仿宋" w:cs="宋体"/>
          <w:bCs/>
        </w:rPr>
        <w:t>。如消杀完成后一个月内未经服务区验收通过的，需24小时内无偿进行二次消杀。</w:t>
      </w:r>
    </w:p>
    <w:p>
      <w:pPr>
        <w:spacing w:line="360" w:lineRule="auto"/>
        <w:ind w:firstLine="643" w:firstLineChars="200"/>
        <w:rPr>
          <w:rFonts w:ascii="仿宋" w:hAnsi="仿宋" w:eastAsia="仿宋" w:cs="仿宋"/>
          <w:b/>
          <w:bCs/>
          <w:color w:val="000000"/>
        </w:rPr>
      </w:pPr>
    </w:p>
    <w:p>
      <w:pPr>
        <w:spacing w:line="360" w:lineRule="auto"/>
        <w:ind w:firstLine="643" w:firstLineChars="200"/>
        <w:rPr>
          <w:rFonts w:ascii="仿宋" w:hAnsi="仿宋" w:eastAsia="仿宋" w:cs="仿宋"/>
          <w:b/>
          <w:bCs/>
        </w:rPr>
      </w:pPr>
      <w:r>
        <w:rPr>
          <w:rFonts w:hint="eastAsia" w:ascii="仿宋" w:hAnsi="仿宋" w:eastAsia="仿宋" w:cs="仿宋"/>
          <w:b/>
          <w:bCs/>
          <w:color w:val="000000"/>
        </w:rPr>
        <w:t>二、</w:t>
      </w:r>
      <w:r>
        <w:rPr>
          <w:rFonts w:hint="eastAsia" w:ascii="仿宋" w:hAnsi="仿宋" w:eastAsia="仿宋" w:cs="仿宋"/>
          <w:b/>
          <w:bCs/>
        </w:rPr>
        <w:t>竞标人资格要求</w:t>
      </w:r>
    </w:p>
    <w:p>
      <w:pPr>
        <w:tabs>
          <w:tab w:val="left" w:pos="2300"/>
          <w:tab w:val="left" w:pos="5660"/>
        </w:tabs>
        <w:autoSpaceDE w:val="0"/>
        <w:autoSpaceDN w:val="0"/>
        <w:adjustRightInd w:val="0"/>
        <w:spacing w:line="360" w:lineRule="auto"/>
        <w:ind w:firstLine="640" w:firstLineChars="200"/>
        <w:rPr>
          <w:rFonts w:ascii="仿宋" w:hAnsi="仿宋" w:eastAsia="仿宋"/>
          <w:shd w:val="clear" w:color="auto" w:fill="FFFFFF"/>
        </w:rPr>
      </w:pPr>
      <w:bookmarkStart w:id="44" w:name="_GoBack"/>
      <w:r>
        <w:rPr>
          <w:rFonts w:hint="eastAsia" w:ascii="仿宋" w:hAnsi="仿宋" w:eastAsia="仿宋" w:cs="仿宋"/>
        </w:rPr>
        <w:t>1．资质</w:t>
      </w:r>
      <w:r>
        <w:rPr>
          <w:rFonts w:ascii="仿宋" w:hAnsi="仿宋" w:eastAsia="仿宋" w:cs="仿宋"/>
        </w:rPr>
        <w:t>要求：</w:t>
      </w:r>
      <w:r>
        <w:rPr>
          <w:rFonts w:hint="eastAsia" w:ascii="仿宋" w:hAnsi="仿宋" w:eastAsia="仿宋" w:cs="仿宋"/>
        </w:rPr>
        <w:t>独立法人，具有有效的营业执照、有害生物防制服务机构A级资质。</w:t>
      </w:r>
    </w:p>
    <w:p>
      <w:pPr>
        <w:widowControl/>
        <w:adjustRightInd w:val="0"/>
        <w:snapToGrid w:val="0"/>
        <w:spacing w:line="360" w:lineRule="auto"/>
        <w:ind w:firstLine="640" w:firstLineChars="200"/>
        <w:jc w:val="left"/>
        <w:rPr>
          <w:rFonts w:ascii="仿宋" w:hAnsi="仿宋" w:eastAsia="仿宋" w:cs="仿宋"/>
          <w:color w:val="000000"/>
          <w:kern w:val="0"/>
        </w:rPr>
      </w:pPr>
      <w:r>
        <w:rPr>
          <w:rFonts w:ascii="仿宋" w:hAnsi="仿宋" w:eastAsia="仿宋" w:cs="仿宋"/>
          <w:color w:val="000000"/>
          <w:kern w:val="0"/>
        </w:rPr>
        <w:t>2.</w:t>
      </w:r>
      <w:r>
        <w:rPr>
          <w:rFonts w:hint="eastAsia" w:ascii="仿宋" w:hAnsi="仿宋" w:eastAsia="仿宋" w:cs="仿宋"/>
          <w:color w:val="000000"/>
          <w:kern w:val="0"/>
        </w:rPr>
        <w:t>近年（2016年1月1日至今）至少有1个四害消杀面积不低于3000平方米，且工作场所须包含餐饮或商超或酒店的相关灭四害服务项目 (提供业绩的合同协议书复印件,时间以合同协议书的签订时间为准)。</w:t>
      </w:r>
    </w:p>
    <w:p>
      <w:pPr>
        <w:widowControl/>
        <w:adjustRightInd w:val="0"/>
        <w:snapToGrid w:val="0"/>
        <w:spacing w:line="360" w:lineRule="auto"/>
        <w:ind w:firstLine="640" w:firstLineChars="200"/>
        <w:jc w:val="left"/>
        <w:rPr>
          <w:rFonts w:ascii="仿宋" w:hAnsi="仿宋" w:eastAsia="仿宋" w:cs="仿宋"/>
          <w:color w:val="000000"/>
          <w:kern w:val="0"/>
        </w:rPr>
      </w:pPr>
      <w:r>
        <w:rPr>
          <w:rFonts w:ascii="仿宋" w:hAnsi="仿宋" w:eastAsia="仿宋"/>
        </w:rPr>
        <w:t>3</w:t>
      </w:r>
      <w:r>
        <w:rPr>
          <w:rFonts w:hint="eastAsia" w:ascii="仿宋" w:hAnsi="仿宋" w:eastAsia="仿宋"/>
        </w:rPr>
        <w:t>.项目负责人最低</w:t>
      </w:r>
      <w:r>
        <w:rPr>
          <w:rFonts w:ascii="仿宋" w:hAnsi="仿宋" w:eastAsia="仿宋"/>
        </w:rPr>
        <w:t>要求：</w:t>
      </w:r>
      <w:r>
        <w:rPr>
          <w:rFonts w:hint="eastAsia" w:ascii="仿宋" w:hAnsi="仿宋" w:eastAsia="仿宋"/>
        </w:rPr>
        <w:t>拟担任本项目的负责人须</w:t>
      </w:r>
      <w:r>
        <w:rPr>
          <w:rFonts w:hint="eastAsia" w:ascii="仿宋" w:hAnsi="仿宋" w:eastAsia="仿宋" w:cs="宋体"/>
          <w:kern w:val="0"/>
        </w:rPr>
        <w:t>具有有害生物防制员高级证书且</w:t>
      </w:r>
      <w:r>
        <w:rPr>
          <w:rFonts w:hint="eastAsia" w:ascii="仿宋" w:hAnsi="仿宋" w:eastAsia="仿宋" w:cs="宋体"/>
        </w:rPr>
        <w:t>近三年（2016年1月1日至今）</w:t>
      </w:r>
      <w:r>
        <w:rPr>
          <w:rFonts w:hint="eastAsia" w:ascii="仿宋" w:hAnsi="仿宋" w:eastAsia="仿宋" w:cs="宋体"/>
          <w:kern w:val="0"/>
        </w:rPr>
        <w:t>负责过</w:t>
      </w:r>
      <w:r>
        <w:rPr>
          <w:rFonts w:hint="eastAsia" w:ascii="仿宋" w:hAnsi="仿宋" w:eastAsia="仿宋" w:cs="仿宋"/>
          <w:color w:val="000000"/>
          <w:kern w:val="0"/>
        </w:rPr>
        <w:t>1个</w:t>
      </w:r>
      <w:r>
        <w:rPr>
          <w:rFonts w:hint="eastAsia" w:ascii="仿宋" w:hAnsi="仿宋" w:eastAsia="仿宋" w:cs="宋体"/>
        </w:rPr>
        <w:t>灭四</w:t>
      </w:r>
      <w:r>
        <w:rPr>
          <w:rFonts w:hint="eastAsia" w:ascii="仿宋" w:hAnsi="仿宋" w:eastAsia="仿宋" w:cs="仿宋"/>
          <w:color w:val="000000"/>
          <w:kern w:val="0"/>
        </w:rPr>
        <w:t>害消杀面积不低于3000平方米，且工作场所须包含餐饮或商超或酒店的相关灭四害服务项目 (提供业绩的合同协议书复印件,时间以合同协议书的签订时间为准)。</w:t>
      </w:r>
    </w:p>
    <w:bookmarkEnd w:id="44"/>
    <w:p>
      <w:pPr>
        <w:widowControl/>
        <w:adjustRightInd w:val="0"/>
        <w:snapToGrid w:val="0"/>
        <w:spacing w:line="360" w:lineRule="auto"/>
        <w:ind w:firstLine="640" w:firstLineChars="200"/>
        <w:jc w:val="left"/>
        <w:rPr>
          <w:rFonts w:ascii="Calibri" w:hAnsi="Calibri" w:eastAsia="宋体"/>
          <w:sz w:val="24"/>
          <w:szCs w:val="24"/>
        </w:rPr>
      </w:pPr>
      <w:r>
        <w:rPr>
          <w:rFonts w:hint="eastAsia" w:ascii="仿宋" w:hAnsi="仿宋" w:eastAsia="仿宋" w:cs="仿宋"/>
          <w:color w:val="000000"/>
        </w:rPr>
        <w:t>4.信誉要求</w:t>
      </w:r>
    </w:p>
    <w:p>
      <w:pPr>
        <w:adjustRightInd w:val="0"/>
        <w:snapToGrid w:val="0"/>
        <w:spacing w:line="300" w:lineRule="auto"/>
        <w:ind w:firstLine="960" w:firstLineChars="300"/>
        <w:jc w:val="left"/>
        <w:rPr>
          <w:rFonts w:ascii="仿宋" w:hAnsi="仿宋" w:eastAsia="仿宋"/>
        </w:rPr>
      </w:pPr>
      <w:r>
        <w:rPr>
          <w:rFonts w:hint="eastAsia" w:ascii="仿宋" w:hAnsi="仿宋" w:eastAsia="仿宋"/>
        </w:rPr>
        <w:t>4.1被责令停业，暂扣或吊销执照，或吊销资质证书。</w:t>
      </w:r>
    </w:p>
    <w:p>
      <w:pPr>
        <w:adjustRightInd w:val="0"/>
        <w:snapToGrid w:val="0"/>
        <w:spacing w:line="300" w:lineRule="auto"/>
        <w:ind w:firstLine="800" w:firstLineChars="250"/>
        <w:jc w:val="left"/>
        <w:rPr>
          <w:rFonts w:ascii="仿宋" w:hAnsi="仿宋" w:eastAsia="仿宋"/>
        </w:rPr>
      </w:pPr>
      <w:r>
        <w:rPr>
          <w:rFonts w:ascii="仿宋" w:hAnsi="仿宋" w:eastAsia="仿宋"/>
        </w:rPr>
        <w:t>4.2</w:t>
      </w:r>
      <w:r>
        <w:rPr>
          <w:rFonts w:hint="eastAsia" w:ascii="仿宋" w:hAnsi="仿宋" w:eastAsia="仿宋"/>
        </w:rPr>
        <w:t>进入清算程序，或被宣告破产，或其他丧失履约能力的情形。</w:t>
      </w:r>
    </w:p>
    <w:p>
      <w:pPr>
        <w:adjustRightInd w:val="0"/>
        <w:snapToGrid w:val="0"/>
        <w:spacing w:line="300" w:lineRule="auto"/>
        <w:ind w:firstLine="800" w:firstLineChars="250"/>
        <w:jc w:val="left"/>
        <w:rPr>
          <w:rFonts w:ascii="仿宋" w:hAnsi="仿宋" w:eastAsia="仿宋"/>
        </w:rPr>
      </w:pPr>
      <w:r>
        <w:rPr>
          <w:rFonts w:ascii="仿宋" w:hAnsi="仿宋" w:eastAsia="仿宋"/>
        </w:rPr>
        <w:t>4.3</w:t>
      </w:r>
      <w:r>
        <w:rPr>
          <w:rFonts w:hint="eastAsia" w:ascii="仿宋" w:hAnsi="仿宋" w:eastAsia="仿宋"/>
        </w:rPr>
        <w:t>在国家企业信用信息公示系统（http://www.gsxt.gov.cn）中被列入严重违法失信企业名单。</w:t>
      </w:r>
    </w:p>
    <w:p>
      <w:pPr>
        <w:adjustRightInd w:val="0"/>
        <w:snapToGrid w:val="0"/>
        <w:spacing w:line="300" w:lineRule="auto"/>
        <w:ind w:firstLine="800" w:firstLineChars="250"/>
        <w:jc w:val="left"/>
        <w:rPr>
          <w:rFonts w:ascii="仿宋" w:hAnsi="仿宋" w:eastAsia="仿宋"/>
        </w:rPr>
      </w:pPr>
      <w:r>
        <w:rPr>
          <w:rFonts w:ascii="仿宋" w:hAnsi="仿宋" w:eastAsia="仿宋"/>
        </w:rPr>
        <w:t>4.4</w:t>
      </w:r>
      <w:r>
        <w:fldChar w:fldCharType="begin"/>
      </w:r>
      <w:r>
        <w:instrText xml:space="preserve"> HYPERLINK "http://www.creditchina.gov.cn/" \h </w:instrText>
      </w:r>
      <w:r>
        <w:fldChar w:fldCharType="separate"/>
      </w:r>
      <w:r>
        <w:rPr>
          <w:rFonts w:hint="eastAsia" w:ascii="仿宋" w:hAnsi="仿宋" w:eastAsia="仿宋"/>
        </w:rPr>
        <w:t>在“信用中国”网站（http://w</w:t>
      </w:r>
      <w:r>
        <w:rPr>
          <w:rFonts w:hint="eastAsia" w:ascii="仿宋" w:hAnsi="仿宋" w:eastAsia="仿宋"/>
        </w:rPr>
        <w:fldChar w:fldCharType="end"/>
      </w:r>
      <w:r>
        <w:rPr>
          <w:rFonts w:hint="eastAsia" w:ascii="仿宋" w:hAnsi="仿宋" w:eastAsia="仿宋"/>
        </w:rPr>
        <w:t>w</w:t>
      </w:r>
      <w:r>
        <w:fldChar w:fldCharType="begin"/>
      </w:r>
      <w:r>
        <w:instrText xml:space="preserve"> HYPERLINK "http://www.creditchina.gov.cn/" \h </w:instrText>
      </w:r>
      <w:r>
        <w:fldChar w:fldCharType="separate"/>
      </w:r>
      <w:r>
        <w:rPr>
          <w:rFonts w:hint="eastAsia" w:ascii="仿宋" w:hAnsi="仿宋" w:eastAsia="仿宋"/>
        </w:rPr>
        <w:t>w.creditchina.gov.c</w:t>
      </w:r>
      <w:r>
        <w:rPr>
          <w:rFonts w:hint="eastAsia" w:ascii="仿宋" w:hAnsi="仿宋" w:eastAsia="仿宋"/>
        </w:rPr>
        <w:fldChar w:fldCharType="end"/>
      </w:r>
      <w:r>
        <w:rPr>
          <w:rFonts w:hint="eastAsia" w:ascii="仿宋" w:hAnsi="仿宋" w:eastAsia="仿宋"/>
        </w:rPr>
        <w:t>n）中被列入失信被执行人名单。</w:t>
      </w:r>
    </w:p>
    <w:p>
      <w:pPr>
        <w:widowControl/>
        <w:adjustRightInd w:val="0"/>
        <w:snapToGrid w:val="0"/>
        <w:spacing w:line="360" w:lineRule="auto"/>
        <w:ind w:firstLine="800" w:firstLineChars="250"/>
        <w:jc w:val="left"/>
        <w:rPr>
          <w:rFonts w:ascii="仿宋" w:hAnsi="仿宋" w:eastAsia="仿宋" w:cs="仿宋"/>
          <w:color w:val="000000"/>
        </w:rPr>
      </w:pPr>
      <w:r>
        <w:rPr>
          <w:rFonts w:ascii="仿宋" w:hAnsi="仿宋" w:eastAsia="仿宋"/>
        </w:rPr>
        <w:t>4.5</w:t>
      </w:r>
      <w:r>
        <w:rPr>
          <w:rFonts w:hint="eastAsia" w:ascii="仿宋" w:hAnsi="仿宋" w:eastAsia="仿宋"/>
        </w:rPr>
        <w:t>竞标人和其法定代表人、拟委任的项目经理或项目设计负责人在近三年内有行贿犯罪行为的。</w:t>
      </w:r>
    </w:p>
    <w:p>
      <w:pPr>
        <w:widowControl/>
        <w:adjustRightInd w:val="0"/>
        <w:snapToGrid w:val="0"/>
        <w:spacing w:line="360" w:lineRule="auto"/>
        <w:ind w:firstLine="960" w:firstLineChars="300"/>
        <w:jc w:val="left"/>
        <w:rPr>
          <w:rFonts w:ascii="仿宋" w:hAnsi="仿宋" w:eastAsia="仿宋" w:cs="仿宋"/>
          <w:color w:val="000000"/>
        </w:rPr>
      </w:pPr>
      <w:r>
        <w:rPr>
          <w:rFonts w:ascii="仿宋" w:hAnsi="仿宋" w:eastAsia="仿宋" w:cs="仿宋"/>
          <w:color w:val="000000"/>
        </w:rPr>
        <w:t>4.6</w:t>
      </w:r>
      <w:r>
        <w:rPr>
          <w:rFonts w:hint="eastAsia" w:ascii="仿宋" w:hAnsi="仿宋" w:eastAsia="仿宋" w:cs="仿宋"/>
          <w:color w:val="000000"/>
        </w:rPr>
        <w:t>没有被税务部门列入重大税收违法案件当事人名单的。</w:t>
      </w:r>
    </w:p>
    <w:p>
      <w:pPr>
        <w:widowControl/>
        <w:adjustRightInd w:val="0"/>
        <w:snapToGrid w:val="0"/>
        <w:spacing w:line="360" w:lineRule="auto"/>
        <w:ind w:firstLine="960" w:firstLineChars="300"/>
        <w:jc w:val="left"/>
        <w:rPr>
          <w:rFonts w:ascii="仿宋" w:hAnsi="仿宋" w:eastAsia="仿宋" w:cs="仿宋"/>
          <w:color w:val="000000"/>
        </w:rPr>
      </w:pPr>
      <w:r>
        <w:rPr>
          <w:rFonts w:hint="eastAsia" w:ascii="仿宋" w:hAnsi="仿宋" w:eastAsia="仿宋" w:cs="仿宋"/>
          <w:color w:val="000000"/>
        </w:rPr>
        <w:t>4.</w:t>
      </w:r>
      <w:r>
        <w:rPr>
          <w:rFonts w:ascii="仿宋" w:hAnsi="仿宋" w:eastAsia="仿宋" w:cs="仿宋"/>
          <w:color w:val="000000"/>
        </w:rPr>
        <w:t>7</w:t>
      </w:r>
      <w:r>
        <w:rPr>
          <w:rFonts w:hint="eastAsia" w:ascii="仿宋" w:hAnsi="仿宋" w:eastAsia="仿宋" w:cs="仿宋"/>
          <w:color w:val="000000"/>
        </w:rPr>
        <w:t>竞标人没有正受到在本采购项目所在地市级行政区域内取消投标资格的行政处罚。</w:t>
      </w:r>
    </w:p>
    <w:p>
      <w:pPr>
        <w:widowControl/>
        <w:adjustRightInd w:val="0"/>
        <w:snapToGrid w:val="0"/>
        <w:spacing w:line="360" w:lineRule="auto"/>
        <w:ind w:firstLine="640" w:firstLineChars="200"/>
        <w:jc w:val="left"/>
        <w:rPr>
          <w:rFonts w:ascii="仿宋" w:hAnsi="仿宋" w:eastAsia="仿宋" w:cs="仿宋"/>
        </w:rPr>
      </w:pPr>
      <w:r>
        <w:rPr>
          <w:rFonts w:hint="eastAsia" w:ascii="仿宋" w:hAnsi="仿宋" w:eastAsia="仿宋"/>
        </w:rPr>
        <w:t>5.本项目不接受联合体投标。</w:t>
      </w:r>
    </w:p>
    <w:p>
      <w:pPr>
        <w:tabs>
          <w:tab w:val="left" w:pos="2300"/>
          <w:tab w:val="left" w:pos="5660"/>
        </w:tabs>
        <w:autoSpaceDE w:val="0"/>
        <w:autoSpaceDN w:val="0"/>
        <w:adjustRightInd w:val="0"/>
        <w:spacing w:line="360" w:lineRule="auto"/>
        <w:ind w:firstLine="480"/>
        <w:jc w:val="left"/>
        <w:rPr>
          <w:rFonts w:ascii="仿宋" w:hAnsi="仿宋" w:eastAsia="仿宋" w:cs="仿宋"/>
          <w:b/>
          <w:bCs/>
          <w:color w:val="000000"/>
        </w:rPr>
      </w:pPr>
      <w:r>
        <w:rPr>
          <w:rFonts w:hint="eastAsia" w:ascii="仿宋" w:hAnsi="仿宋" w:eastAsia="仿宋" w:cs="仿宋"/>
          <w:b/>
          <w:bCs/>
          <w:color w:val="000000"/>
        </w:rPr>
        <w:t>三、采购文件获取时间及方式</w:t>
      </w:r>
    </w:p>
    <w:p>
      <w:pPr>
        <w:spacing w:line="360" w:lineRule="auto"/>
        <w:ind w:firstLine="640" w:firstLineChars="200"/>
        <w:rPr>
          <w:rFonts w:ascii="仿宋" w:hAnsi="仿宋" w:eastAsia="仿宋" w:cs="仿宋"/>
          <w:color w:val="000000"/>
        </w:rPr>
      </w:pPr>
      <w:r>
        <w:rPr>
          <w:rFonts w:hint="eastAsia" w:ascii="仿宋" w:hAnsi="仿宋" w:eastAsia="仿宋" w:cs="仿宋"/>
          <w:color w:val="000000"/>
        </w:rPr>
        <w:t>凡有意向参加本项目的竞标人，可在安徽省驿达高速公路服务区经营管理有限公司网站自行下载询比文件。</w:t>
      </w:r>
    </w:p>
    <w:p>
      <w:pPr>
        <w:tabs>
          <w:tab w:val="left" w:pos="2300"/>
          <w:tab w:val="left" w:pos="5660"/>
        </w:tabs>
        <w:autoSpaceDE w:val="0"/>
        <w:autoSpaceDN w:val="0"/>
        <w:adjustRightInd w:val="0"/>
        <w:spacing w:line="360" w:lineRule="auto"/>
        <w:ind w:firstLine="480"/>
        <w:jc w:val="left"/>
        <w:rPr>
          <w:rFonts w:ascii="仿宋" w:hAnsi="仿宋" w:eastAsia="仿宋" w:cs="仿宋"/>
          <w:b/>
          <w:bCs/>
          <w:color w:val="000000"/>
        </w:rPr>
      </w:pPr>
      <w:r>
        <w:rPr>
          <w:rFonts w:hint="eastAsia" w:ascii="仿宋" w:hAnsi="仿宋" w:eastAsia="仿宋" w:cs="仿宋"/>
          <w:b/>
          <w:bCs/>
          <w:color w:val="000000"/>
        </w:rPr>
        <w:t>四、开标时间及地点</w:t>
      </w:r>
    </w:p>
    <w:p>
      <w:pPr>
        <w:tabs>
          <w:tab w:val="left" w:pos="2300"/>
          <w:tab w:val="left" w:pos="5660"/>
        </w:tabs>
        <w:autoSpaceDE w:val="0"/>
        <w:autoSpaceDN w:val="0"/>
        <w:adjustRightInd w:val="0"/>
        <w:spacing w:line="360" w:lineRule="auto"/>
        <w:ind w:firstLine="480"/>
        <w:jc w:val="left"/>
        <w:rPr>
          <w:rFonts w:ascii="仿宋" w:hAnsi="仿宋" w:eastAsia="仿宋" w:cs="仿宋"/>
          <w:color w:val="000000"/>
        </w:rPr>
      </w:pPr>
      <w:r>
        <w:rPr>
          <w:rFonts w:hint="eastAsia" w:ascii="仿宋" w:hAnsi="仿宋" w:eastAsia="仿宋" w:cs="仿宋"/>
          <w:color w:val="000000"/>
        </w:rPr>
        <w:t>1、开标时间：2019年</w:t>
      </w:r>
      <w:r>
        <w:rPr>
          <w:rFonts w:hint="eastAsia" w:ascii="仿宋" w:hAnsi="仿宋" w:eastAsia="仿宋" w:cs="仿宋"/>
          <w:color w:val="000000"/>
          <w:lang w:eastAsia="zh-CN"/>
        </w:rPr>
        <w:t>6月10日上午9:30</w:t>
      </w:r>
      <w:r>
        <w:rPr>
          <w:rFonts w:hint="eastAsia" w:ascii="仿宋" w:hAnsi="仿宋" w:eastAsia="仿宋" w:cs="仿宋"/>
          <w:color w:val="000000"/>
        </w:rPr>
        <w:t>。</w:t>
      </w:r>
    </w:p>
    <w:p>
      <w:pPr>
        <w:tabs>
          <w:tab w:val="left" w:pos="2300"/>
          <w:tab w:val="left" w:pos="5660"/>
        </w:tabs>
        <w:autoSpaceDE w:val="0"/>
        <w:autoSpaceDN w:val="0"/>
        <w:adjustRightInd w:val="0"/>
        <w:spacing w:line="360" w:lineRule="auto"/>
        <w:ind w:firstLine="480"/>
        <w:jc w:val="left"/>
        <w:rPr>
          <w:rFonts w:ascii="仿宋" w:hAnsi="仿宋" w:eastAsia="仿宋" w:cs="仿宋"/>
          <w:color w:val="000000"/>
          <w:kern w:val="0"/>
        </w:rPr>
      </w:pPr>
      <w:r>
        <w:rPr>
          <w:rFonts w:hint="eastAsia" w:ascii="仿宋" w:hAnsi="仿宋" w:eastAsia="仿宋" w:cs="仿宋"/>
          <w:color w:val="000000"/>
        </w:rPr>
        <w:t>2、开标地点：</w:t>
      </w:r>
      <w:r>
        <w:rPr>
          <w:rFonts w:hint="eastAsia" w:ascii="仿宋" w:hAnsi="仿宋" w:eastAsia="仿宋" w:cs="仿宋"/>
          <w:color w:val="000000"/>
          <w:kern w:val="0"/>
        </w:rPr>
        <w:t>安徽省驿达高速公路服务区经营管理有限公司</w:t>
      </w:r>
      <w:r>
        <w:rPr>
          <w:rFonts w:ascii="仿宋" w:hAnsi="仿宋" w:eastAsia="仿宋" w:cs="仿宋"/>
          <w:color w:val="000000"/>
          <w:kern w:val="0"/>
        </w:rPr>
        <w:t>一楼会议室</w:t>
      </w:r>
      <w:r>
        <w:rPr>
          <w:rFonts w:hint="eastAsia" w:ascii="仿宋" w:hAnsi="仿宋" w:eastAsia="仿宋" w:cs="仿宋"/>
          <w:color w:val="000000"/>
          <w:kern w:val="0"/>
        </w:rPr>
        <w:t>。</w:t>
      </w:r>
    </w:p>
    <w:p>
      <w:pPr>
        <w:tabs>
          <w:tab w:val="left" w:pos="2300"/>
          <w:tab w:val="left" w:pos="5660"/>
        </w:tabs>
        <w:autoSpaceDE w:val="0"/>
        <w:autoSpaceDN w:val="0"/>
        <w:adjustRightInd w:val="0"/>
        <w:spacing w:line="360" w:lineRule="auto"/>
        <w:ind w:firstLine="480"/>
        <w:rPr>
          <w:rFonts w:ascii="仿宋" w:hAnsi="仿宋" w:eastAsia="仿宋" w:cs="仿宋"/>
          <w:color w:val="000000"/>
          <w:kern w:val="0"/>
        </w:rPr>
      </w:pPr>
      <w:r>
        <w:rPr>
          <w:rFonts w:hint="eastAsia" w:ascii="仿宋" w:hAnsi="仿宋" w:eastAsia="仿宋" w:cs="仿宋"/>
          <w:color w:val="000000"/>
        </w:rPr>
        <w:t>2、开标地点：</w:t>
      </w:r>
      <w:r>
        <w:rPr>
          <w:rFonts w:hint="eastAsia" w:ascii="仿宋" w:hAnsi="仿宋" w:eastAsia="仿宋" w:cs="仿宋"/>
          <w:color w:val="000000"/>
          <w:kern w:val="0"/>
        </w:rPr>
        <w:t>安徽省驿达高速公路服务区经营管理有限公司</w:t>
      </w:r>
      <w:r>
        <w:rPr>
          <w:rFonts w:ascii="仿宋" w:hAnsi="仿宋" w:eastAsia="仿宋" w:cs="仿宋"/>
          <w:color w:val="000000"/>
          <w:kern w:val="0"/>
        </w:rPr>
        <w:t>一楼会议室</w:t>
      </w:r>
      <w:r>
        <w:rPr>
          <w:rFonts w:hint="eastAsia" w:ascii="仿宋" w:hAnsi="仿宋" w:eastAsia="仿宋" w:cs="仿宋"/>
          <w:color w:val="000000"/>
          <w:kern w:val="0"/>
        </w:rPr>
        <w:t>。</w:t>
      </w:r>
    </w:p>
    <w:p>
      <w:pPr>
        <w:tabs>
          <w:tab w:val="left" w:pos="2300"/>
          <w:tab w:val="left" w:pos="5660"/>
        </w:tabs>
        <w:autoSpaceDE w:val="0"/>
        <w:autoSpaceDN w:val="0"/>
        <w:adjustRightInd w:val="0"/>
        <w:spacing w:line="360" w:lineRule="auto"/>
        <w:ind w:firstLine="480"/>
        <w:rPr>
          <w:rFonts w:ascii="仿宋" w:hAnsi="仿宋" w:eastAsia="仿宋" w:cs="仿宋"/>
          <w:b/>
          <w:bCs/>
          <w:color w:val="000000"/>
        </w:rPr>
      </w:pPr>
      <w:r>
        <w:rPr>
          <w:rFonts w:hint="eastAsia" w:ascii="仿宋" w:hAnsi="仿宋" w:eastAsia="仿宋" w:cs="仿宋"/>
          <w:b/>
          <w:bCs/>
          <w:color w:val="000000"/>
        </w:rPr>
        <w:t>五、联系方式</w:t>
      </w:r>
    </w:p>
    <w:p>
      <w:pPr>
        <w:widowControl/>
        <w:adjustRightInd w:val="0"/>
        <w:snapToGrid w:val="0"/>
        <w:spacing w:line="360" w:lineRule="auto"/>
        <w:ind w:firstLine="480" w:firstLineChars="150"/>
        <w:rPr>
          <w:rFonts w:ascii="仿宋" w:hAnsi="仿宋" w:eastAsia="仿宋" w:cs="仿宋"/>
          <w:color w:val="000000"/>
          <w:kern w:val="0"/>
        </w:rPr>
      </w:pPr>
      <w:r>
        <w:rPr>
          <w:rFonts w:hint="eastAsia" w:ascii="仿宋" w:hAnsi="仿宋" w:eastAsia="仿宋" w:cs="仿宋"/>
          <w:color w:val="000000"/>
          <w:kern w:val="0"/>
        </w:rPr>
        <w:t>采购人：安徽省驿达高速公路服务区经营管理有限公司</w:t>
      </w:r>
    </w:p>
    <w:p>
      <w:pPr>
        <w:widowControl/>
        <w:adjustRightInd w:val="0"/>
        <w:snapToGrid w:val="0"/>
        <w:spacing w:line="360" w:lineRule="auto"/>
        <w:ind w:firstLine="480" w:firstLineChars="150"/>
        <w:rPr>
          <w:rFonts w:ascii="仿宋" w:hAnsi="仿宋" w:eastAsia="仿宋" w:cs="仿宋"/>
          <w:color w:val="000000"/>
          <w:kern w:val="0"/>
        </w:rPr>
      </w:pPr>
      <w:r>
        <w:rPr>
          <w:rFonts w:hint="eastAsia" w:ascii="仿宋" w:hAnsi="仿宋" w:eastAsia="仿宋" w:cs="仿宋"/>
          <w:color w:val="000000"/>
          <w:kern w:val="0"/>
        </w:rPr>
        <w:t xml:space="preserve">地址：合肥市望江西路520号皖通科技园10号楼 </w:t>
      </w:r>
    </w:p>
    <w:p>
      <w:pPr>
        <w:widowControl/>
        <w:adjustRightInd w:val="0"/>
        <w:snapToGrid w:val="0"/>
        <w:spacing w:line="360" w:lineRule="auto"/>
        <w:ind w:firstLine="480" w:firstLineChars="150"/>
        <w:rPr>
          <w:rFonts w:ascii="仿宋" w:hAnsi="仿宋" w:eastAsia="仿宋" w:cs="仿宋"/>
          <w:color w:val="000000"/>
          <w:kern w:val="0"/>
        </w:rPr>
      </w:pPr>
      <w:r>
        <w:rPr>
          <w:rFonts w:hint="eastAsia" w:ascii="仿宋" w:hAnsi="仿宋" w:eastAsia="仿宋" w:cs="仿宋"/>
          <w:color w:val="000000"/>
          <w:kern w:val="0"/>
        </w:rPr>
        <w:t xml:space="preserve">联系人：李工  徐工  </w:t>
      </w:r>
    </w:p>
    <w:p>
      <w:pPr>
        <w:widowControl/>
        <w:adjustRightInd w:val="0"/>
        <w:snapToGrid w:val="0"/>
        <w:spacing w:line="360" w:lineRule="auto"/>
        <w:ind w:firstLine="480" w:firstLineChars="150"/>
        <w:rPr>
          <w:rFonts w:ascii="仿宋" w:hAnsi="仿宋" w:eastAsia="仿宋" w:cs="仿宋"/>
          <w:color w:val="000000"/>
          <w:kern w:val="0"/>
        </w:rPr>
      </w:pPr>
      <w:r>
        <w:rPr>
          <w:rFonts w:hint="eastAsia" w:ascii="仿宋" w:hAnsi="仿宋" w:eastAsia="仿宋" w:cs="仿宋"/>
          <w:color w:val="000000"/>
          <w:kern w:val="0"/>
        </w:rPr>
        <w:t>电话：0551-63738573  0551-65333776</w:t>
      </w:r>
    </w:p>
    <w:p>
      <w:pPr>
        <w:tabs>
          <w:tab w:val="left" w:pos="2300"/>
          <w:tab w:val="left" w:pos="5660"/>
        </w:tabs>
        <w:autoSpaceDE w:val="0"/>
        <w:autoSpaceDN w:val="0"/>
        <w:adjustRightInd w:val="0"/>
        <w:spacing w:line="360" w:lineRule="auto"/>
        <w:ind w:firstLine="480"/>
        <w:jc w:val="left"/>
        <w:rPr>
          <w:rFonts w:ascii="仿宋" w:hAnsi="仿宋" w:eastAsia="仿宋" w:cs="仿宋"/>
          <w:b/>
          <w:bCs/>
          <w:color w:val="000000"/>
        </w:rPr>
      </w:pPr>
      <w:r>
        <w:rPr>
          <w:rFonts w:hint="eastAsia" w:ascii="仿宋" w:hAnsi="仿宋" w:eastAsia="仿宋" w:cs="仿宋"/>
          <w:b/>
          <w:bCs/>
          <w:color w:val="000000"/>
        </w:rPr>
        <w:t>六、发布公告的媒介</w:t>
      </w:r>
    </w:p>
    <w:p>
      <w:pPr>
        <w:tabs>
          <w:tab w:val="left" w:pos="2300"/>
          <w:tab w:val="left" w:pos="5660"/>
        </w:tabs>
        <w:autoSpaceDE w:val="0"/>
        <w:autoSpaceDN w:val="0"/>
        <w:adjustRightInd w:val="0"/>
        <w:spacing w:line="360" w:lineRule="auto"/>
        <w:ind w:firstLine="480"/>
        <w:jc w:val="left"/>
        <w:rPr>
          <w:rFonts w:ascii="仿宋" w:hAnsi="仿宋" w:eastAsia="仿宋" w:cs="仿宋"/>
          <w:color w:val="000000"/>
        </w:rPr>
      </w:pPr>
      <w:r>
        <w:rPr>
          <w:rFonts w:hint="eastAsia" w:ascii="仿宋" w:hAnsi="仿宋" w:eastAsia="仿宋" w:cs="仿宋"/>
          <w:color w:val="000000"/>
        </w:rPr>
        <w:t>本项目询比公告在安徽省驿达高速公路服务区经营管理有限公司网站上发布。</w:t>
      </w:r>
    </w:p>
    <w:p>
      <w:pPr>
        <w:tabs>
          <w:tab w:val="left" w:pos="2300"/>
          <w:tab w:val="left" w:pos="5660"/>
        </w:tabs>
        <w:autoSpaceDE w:val="0"/>
        <w:autoSpaceDN w:val="0"/>
        <w:adjustRightInd w:val="0"/>
        <w:spacing w:line="360" w:lineRule="auto"/>
        <w:ind w:firstLine="480"/>
        <w:jc w:val="left"/>
        <w:rPr>
          <w:rFonts w:ascii="仿宋" w:hAnsi="仿宋" w:eastAsia="仿宋" w:cs="仿宋"/>
          <w:b/>
          <w:bCs/>
          <w:color w:val="000000"/>
        </w:rPr>
      </w:pPr>
      <w:r>
        <w:rPr>
          <w:rFonts w:hint="eastAsia" w:ascii="仿宋" w:hAnsi="仿宋" w:eastAsia="仿宋" w:cs="仿宋"/>
          <w:b/>
          <w:bCs/>
          <w:color w:val="000000"/>
        </w:rPr>
        <w:t>七、其他事项说明</w:t>
      </w:r>
    </w:p>
    <w:p>
      <w:pPr>
        <w:widowControl/>
        <w:adjustRightInd w:val="0"/>
        <w:snapToGrid w:val="0"/>
        <w:spacing w:line="360" w:lineRule="auto"/>
        <w:ind w:firstLine="640" w:firstLineChars="200"/>
        <w:rPr>
          <w:rFonts w:ascii="仿宋" w:hAnsi="仿宋" w:eastAsia="仿宋" w:cs="仿宋"/>
          <w:color w:val="000000"/>
          <w:kern w:val="0"/>
        </w:rPr>
      </w:pPr>
      <w:r>
        <w:rPr>
          <w:rFonts w:hint="eastAsia" w:ascii="仿宋" w:hAnsi="仿宋" w:eastAsia="仿宋" w:cs="仿宋"/>
          <w:color w:val="000000"/>
          <w:kern w:val="0"/>
        </w:rPr>
        <w:t>1、采购人不组织现场考察与标前会议，竞标人可根据需要自行组织进行现场考察，现场考察期间的交通、食宿等由竞标人自行安排，费用自理。</w:t>
      </w:r>
    </w:p>
    <w:p>
      <w:pPr>
        <w:widowControl/>
        <w:adjustRightInd w:val="0"/>
        <w:snapToGrid w:val="0"/>
        <w:spacing w:line="360" w:lineRule="auto"/>
        <w:ind w:firstLine="640" w:firstLineChars="200"/>
        <w:rPr>
          <w:rFonts w:ascii="仿宋" w:hAnsi="仿宋" w:eastAsia="仿宋" w:cs="仿宋"/>
          <w:color w:val="000000"/>
          <w:kern w:val="0"/>
        </w:rPr>
      </w:pPr>
      <w:r>
        <w:rPr>
          <w:rFonts w:hint="eastAsia" w:ascii="仿宋" w:hAnsi="仿宋" w:eastAsia="仿宋" w:cs="仿宋"/>
          <w:color w:val="000000"/>
          <w:kern w:val="0"/>
        </w:rPr>
        <w:t>2、响应文件递交的截止时间（投标截止时间）为2019年</w:t>
      </w:r>
      <w:r>
        <w:rPr>
          <w:rFonts w:hint="eastAsia" w:ascii="仿宋" w:hAnsi="仿宋" w:eastAsia="仿宋" w:cs="仿宋"/>
          <w:color w:val="000000"/>
          <w:kern w:val="0"/>
          <w:lang w:eastAsia="zh-CN"/>
        </w:rPr>
        <w:t>6月10日上午9:30</w:t>
      </w:r>
      <w:r>
        <w:rPr>
          <w:rFonts w:hint="eastAsia" w:ascii="仿宋" w:hAnsi="仿宋" w:eastAsia="仿宋" w:cs="仿宋"/>
          <w:color w:val="000000"/>
          <w:kern w:val="0"/>
        </w:rPr>
        <w:t>，递交地点为安徽省驿达高速公路服务区经营管理有限公司</w:t>
      </w:r>
      <w:r>
        <w:rPr>
          <w:rFonts w:ascii="仿宋" w:hAnsi="仿宋" w:eastAsia="仿宋" w:cs="仿宋"/>
          <w:color w:val="000000"/>
          <w:kern w:val="0"/>
        </w:rPr>
        <w:t>一楼会议室</w:t>
      </w:r>
      <w:r>
        <w:rPr>
          <w:rFonts w:hint="eastAsia" w:ascii="仿宋" w:hAnsi="仿宋" w:eastAsia="仿宋" w:cs="仿宋"/>
          <w:color w:val="000000"/>
          <w:kern w:val="0"/>
        </w:rPr>
        <w:t>。采购人定于响应文件递交截止的同一时间、同一地点举行公开开标。竞标人的法定代表人或授权代理人应携带本人身份证准时参加开标会议，否则将视其默认评审结果。逾期送达的或者未送达指定地点的响应文件，采购人不予受理。</w:t>
      </w:r>
    </w:p>
    <w:p>
      <w:pPr>
        <w:widowControl/>
        <w:adjustRightInd w:val="0"/>
        <w:snapToGrid w:val="0"/>
        <w:spacing w:line="360" w:lineRule="auto"/>
        <w:ind w:firstLine="640" w:firstLineChars="200"/>
        <w:rPr>
          <w:rFonts w:ascii="仿宋" w:hAnsi="仿宋" w:eastAsia="仿宋" w:cs="仿宋"/>
          <w:color w:val="000000"/>
          <w:kern w:val="0"/>
        </w:rPr>
      </w:pPr>
      <w:r>
        <w:rPr>
          <w:rFonts w:hint="eastAsia" w:ascii="仿宋" w:hAnsi="仿宋" w:eastAsia="仿宋" w:cs="仿宋"/>
          <w:color w:val="000000"/>
          <w:kern w:val="0"/>
        </w:rPr>
        <w:t>3、本项目竞标保证金金额为：9000元；若采用电汇（转账）形式，竞标保证金必须由竞标人的基本账户一次性汇入本公告所示账户，</w:t>
      </w:r>
      <w:r>
        <w:rPr>
          <w:rFonts w:hint="eastAsia" w:ascii="仿宋" w:hAnsi="仿宋" w:eastAsia="仿宋" w:cs="仿宋"/>
          <w:b/>
          <w:color w:val="000000"/>
          <w:kern w:val="0"/>
        </w:rPr>
        <w:t>并在2019年</w:t>
      </w:r>
      <w:r>
        <w:rPr>
          <w:rFonts w:hint="eastAsia" w:ascii="仿宋" w:hAnsi="仿宋" w:eastAsia="仿宋" w:cs="仿宋"/>
          <w:b/>
          <w:color w:val="000000"/>
          <w:kern w:val="0"/>
          <w:lang w:eastAsia="zh-CN"/>
        </w:rPr>
        <w:t>6月10日上午9:30</w:t>
      </w:r>
      <w:r>
        <w:rPr>
          <w:rFonts w:ascii="仿宋" w:hAnsi="仿宋" w:eastAsia="仿宋" w:cs="仿宋"/>
          <w:b/>
          <w:color w:val="000000"/>
          <w:kern w:val="0"/>
        </w:rPr>
        <w:t>前</w:t>
      </w:r>
      <w:r>
        <w:rPr>
          <w:rFonts w:hint="eastAsia" w:ascii="仿宋" w:hAnsi="仿宋" w:eastAsia="仿宋" w:cs="仿宋"/>
          <w:b/>
          <w:color w:val="000000"/>
          <w:kern w:val="0"/>
        </w:rPr>
        <w:t>到账，否则视为无效</w:t>
      </w:r>
      <w:r>
        <w:rPr>
          <w:rFonts w:hint="eastAsia" w:ascii="仿宋" w:hAnsi="仿宋" w:eastAsia="仿宋" w:cs="仿宋"/>
          <w:color w:val="000000"/>
          <w:kern w:val="0"/>
        </w:rPr>
        <w:t>；若采用银行保函形式，则应由竞标人开立基本账户的银行开具，银行保函应采用采购文件提供的格式，银行保函原件装订在响应文件的正本之中。</w:t>
      </w:r>
    </w:p>
    <w:p>
      <w:pPr>
        <w:widowControl/>
        <w:adjustRightInd w:val="0"/>
        <w:snapToGrid w:val="0"/>
        <w:spacing w:line="360" w:lineRule="auto"/>
        <w:ind w:firstLine="640" w:firstLineChars="200"/>
        <w:rPr>
          <w:rFonts w:ascii="仿宋" w:hAnsi="仿宋" w:eastAsia="仿宋" w:cs="仿宋"/>
          <w:color w:val="000000"/>
          <w:kern w:val="0"/>
        </w:rPr>
      </w:pPr>
      <w:r>
        <w:rPr>
          <w:rFonts w:hint="eastAsia" w:ascii="仿宋" w:hAnsi="仿宋" w:eastAsia="仿宋" w:cs="仿宋"/>
          <w:color w:val="000000"/>
          <w:kern w:val="0"/>
        </w:rPr>
        <w:t>4、本项目响应文件必须胶装。</w:t>
      </w:r>
    </w:p>
    <w:p>
      <w:pPr>
        <w:tabs>
          <w:tab w:val="left" w:pos="2300"/>
          <w:tab w:val="left" w:pos="5660"/>
        </w:tabs>
        <w:autoSpaceDE w:val="0"/>
        <w:autoSpaceDN w:val="0"/>
        <w:adjustRightInd w:val="0"/>
        <w:spacing w:line="360" w:lineRule="auto"/>
        <w:ind w:firstLine="643" w:firstLineChars="200"/>
        <w:rPr>
          <w:rFonts w:ascii="仿宋" w:hAnsi="仿宋" w:eastAsia="仿宋" w:cs="仿宋"/>
          <w:b/>
          <w:bCs/>
          <w:color w:val="000000"/>
        </w:rPr>
      </w:pPr>
      <w:r>
        <w:rPr>
          <w:rFonts w:hint="eastAsia" w:ascii="仿宋" w:hAnsi="仿宋" w:eastAsia="仿宋" w:cs="仿宋"/>
          <w:b/>
          <w:bCs/>
          <w:color w:val="000000"/>
        </w:rPr>
        <w:t>八、保证金账户</w:t>
      </w:r>
    </w:p>
    <w:p>
      <w:pPr>
        <w:widowControl/>
        <w:adjustRightInd w:val="0"/>
        <w:snapToGrid w:val="0"/>
        <w:spacing w:line="360" w:lineRule="auto"/>
        <w:ind w:firstLine="640" w:firstLineChars="200"/>
        <w:rPr>
          <w:rFonts w:ascii="仿宋" w:hAnsi="仿宋" w:eastAsia="仿宋" w:cs="仿宋"/>
          <w:color w:val="000000"/>
          <w:kern w:val="0"/>
        </w:rPr>
      </w:pPr>
      <w:r>
        <w:rPr>
          <w:rFonts w:hint="eastAsia" w:ascii="仿宋" w:hAnsi="仿宋" w:eastAsia="仿宋" w:cs="仿宋"/>
          <w:color w:val="000000"/>
          <w:kern w:val="0"/>
        </w:rPr>
        <w:t>户   名：安徽省驿达高速公路服务区经营管理有限公司</w:t>
      </w:r>
    </w:p>
    <w:p>
      <w:pPr>
        <w:widowControl/>
        <w:adjustRightInd w:val="0"/>
        <w:snapToGrid w:val="0"/>
        <w:spacing w:line="360" w:lineRule="auto"/>
        <w:ind w:firstLine="640" w:firstLineChars="200"/>
        <w:rPr>
          <w:rFonts w:ascii="仿宋" w:hAnsi="仿宋" w:eastAsia="仿宋" w:cs="仿宋"/>
          <w:color w:val="000000"/>
          <w:kern w:val="0"/>
        </w:rPr>
      </w:pPr>
      <w:r>
        <w:rPr>
          <w:rFonts w:hint="eastAsia" w:ascii="仿宋" w:hAnsi="仿宋" w:eastAsia="仿宋" w:cs="仿宋"/>
          <w:color w:val="000000"/>
          <w:kern w:val="0"/>
        </w:rPr>
        <w:t>开户银行：中国工商银行合肥市高新技术产业开发区支行</w:t>
      </w:r>
    </w:p>
    <w:p>
      <w:pPr>
        <w:widowControl/>
        <w:adjustRightInd w:val="0"/>
        <w:snapToGrid w:val="0"/>
        <w:spacing w:line="360" w:lineRule="auto"/>
        <w:ind w:firstLine="640" w:firstLineChars="200"/>
        <w:rPr>
          <w:rFonts w:ascii="仿宋" w:hAnsi="仿宋" w:eastAsia="仿宋" w:cs="仿宋"/>
          <w:color w:val="000000"/>
          <w:kern w:val="0"/>
        </w:rPr>
      </w:pPr>
      <w:r>
        <w:rPr>
          <w:rFonts w:hint="eastAsia" w:ascii="仿宋" w:hAnsi="仿宋" w:eastAsia="仿宋" w:cs="仿宋"/>
          <w:color w:val="000000"/>
          <w:kern w:val="0"/>
        </w:rPr>
        <w:t>账    号： 1302011919201123880</w:t>
      </w:r>
    </w:p>
    <w:p>
      <w:pPr>
        <w:widowControl/>
        <w:adjustRightInd w:val="0"/>
        <w:snapToGrid w:val="0"/>
        <w:spacing w:line="360" w:lineRule="auto"/>
        <w:ind w:firstLine="640" w:firstLineChars="200"/>
        <w:jc w:val="right"/>
        <w:rPr>
          <w:rFonts w:ascii="仿宋" w:hAnsi="仿宋" w:eastAsia="仿宋" w:cs="仿宋"/>
          <w:color w:val="000000"/>
          <w:kern w:val="0"/>
        </w:rPr>
      </w:pPr>
      <w:r>
        <w:rPr>
          <w:rFonts w:hint="eastAsia" w:ascii="仿宋" w:hAnsi="仿宋" w:eastAsia="仿宋" w:cs="仿宋"/>
          <w:color w:val="000000"/>
          <w:kern w:val="0"/>
        </w:rPr>
        <w:t>2019年5月2</w:t>
      </w:r>
      <w:r>
        <w:rPr>
          <w:rFonts w:hint="eastAsia" w:ascii="仿宋" w:hAnsi="仿宋" w:eastAsia="仿宋" w:cs="仿宋"/>
          <w:color w:val="000000"/>
          <w:kern w:val="0"/>
          <w:lang w:val="en-US" w:eastAsia="zh-CN"/>
        </w:rPr>
        <w:t>9</w:t>
      </w:r>
      <w:r>
        <w:rPr>
          <w:rFonts w:hint="eastAsia" w:ascii="仿宋" w:hAnsi="仿宋" w:eastAsia="仿宋" w:cs="仿宋"/>
          <w:color w:val="000000"/>
          <w:kern w:val="0"/>
        </w:rPr>
        <w:t>日</w:t>
      </w:r>
      <w:bookmarkStart w:id="1" w:name="_Toc189369359"/>
      <w:bookmarkStart w:id="2" w:name="_Toc30210"/>
      <w:bookmarkStart w:id="3" w:name="_Toc7659"/>
    </w:p>
    <w:p>
      <w:pPr>
        <w:keepNext/>
        <w:keepLines/>
        <w:spacing w:before="240" w:after="240" w:line="600" w:lineRule="exact"/>
        <w:jc w:val="center"/>
        <w:outlineLvl w:val="0"/>
        <w:rPr>
          <w:rFonts w:ascii="Times New Roman" w:eastAsia="方正小标宋简体"/>
          <w:bCs/>
          <w:kern w:val="44"/>
          <w:sz w:val="44"/>
          <w:szCs w:val="44"/>
        </w:rPr>
      </w:pPr>
      <w:bookmarkStart w:id="4" w:name="_Toc3978"/>
      <w:r>
        <w:rPr>
          <w:rFonts w:hint="eastAsia" w:ascii="Times New Roman" w:eastAsia="方正小标宋简体"/>
          <w:bCs/>
          <w:kern w:val="44"/>
          <w:sz w:val="44"/>
          <w:szCs w:val="44"/>
        </w:rPr>
        <w:br w:type="page"/>
      </w:r>
      <w:r>
        <w:rPr>
          <w:rFonts w:hint="eastAsia" w:ascii="Times New Roman" w:eastAsia="方正小标宋简体"/>
          <w:bCs/>
          <w:kern w:val="44"/>
          <w:sz w:val="44"/>
          <w:szCs w:val="44"/>
        </w:rPr>
        <w:t>第二章  竞标人须知</w:t>
      </w:r>
      <w:bookmarkEnd w:id="1"/>
      <w:bookmarkEnd w:id="2"/>
      <w:bookmarkEnd w:id="3"/>
      <w:bookmarkEnd w:id="4"/>
    </w:p>
    <w:p>
      <w:pPr>
        <w:jc w:val="left"/>
        <w:rPr>
          <w:rFonts w:ascii="Calibri" w:hAnsi="Calibri" w:eastAsia="宋体"/>
          <w:sz w:val="24"/>
          <w:szCs w:val="24"/>
        </w:rPr>
      </w:pPr>
    </w:p>
    <w:tbl>
      <w:tblPr>
        <w:tblStyle w:val="26"/>
        <w:tblW w:w="9229" w:type="dxa"/>
        <w:tblInd w:w="0" w:type="dxa"/>
        <w:tblLayout w:type="fixed"/>
        <w:tblCellMar>
          <w:top w:w="15" w:type="dxa"/>
          <w:left w:w="15" w:type="dxa"/>
          <w:bottom w:w="15" w:type="dxa"/>
          <w:right w:w="15" w:type="dxa"/>
        </w:tblCellMar>
      </w:tblPr>
      <w:tblGrid>
        <w:gridCol w:w="2992"/>
        <w:gridCol w:w="6237"/>
      </w:tblGrid>
      <w:tr>
        <w:tblPrEx>
          <w:tblLayout w:type="fixed"/>
          <w:tblCellMar>
            <w:top w:w="15" w:type="dxa"/>
            <w:left w:w="15" w:type="dxa"/>
            <w:bottom w:w="15" w:type="dxa"/>
            <w:right w:w="15" w:type="dxa"/>
          </w:tblCellMar>
        </w:tblPrEx>
        <w:trPr>
          <w:trHeight w:val="28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bookmarkStart w:id="5" w:name="_Toc2339"/>
            <w:r>
              <w:rPr>
                <w:rFonts w:hint="eastAsia" w:ascii="宋体" w:hAnsi="宋体" w:eastAsia="宋体" w:cs="宋体"/>
                <w:bCs/>
                <w:kern w:val="0"/>
                <w:sz w:val="21"/>
                <w:szCs w:val="21"/>
                <w:lang w:bidi="ar"/>
              </w:rPr>
              <w:t>名称</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编列内容</w:t>
            </w:r>
          </w:p>
        </w:tc>
      </w:tr>
      <w:tr>
        <w:tblPrEx>
          <w:tblLayout w:type="fixed"/>
          <w:tblCellMar>
            <w:top w:w="15" w:type="dxa"/>
            <w:left w:w="15" w:type="dxa"/>
            <w:bottom w:w="15" w:type="dxa"/>
            <w:right w:w="15" w:type="dxa"/>
          </w:tblCellMar>
        </w:tblPrEx>
        <w:trPr>
          <w:trHeight w:val="31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资金来源及比例</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业主自筹，100%</w:t>
            </w:r>
          </w:p>
        </w:tc>
      </w:tr>
      <w:tr>
        <w:tblPrEx>
          <w:tblLayout w:type="fixed"/>
          <w:tblCellMar>
            <w:top w:w="15" w:type="dxa"/>
            <w:left w:w="15" w:type="dxa"/>
            <w:bottom w:w="15" w:type="dxa"/>
            <w:right w:w="15" w:type="dxa"/>
          </w:tblCellMar>
        </w:tblPrEx>
        <w:trPr>
          <w:trHeight w:val="31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资金落实情况</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已落实</w:t>
            </w:r>
          </w:p>
        </w:tc>
      </w:tr>
      <w:tr>
        <w:tblPrEx>
          <w:tblLayout w:type="fixed"/>
          <w:tblCellMar>
            <w:top w:w="15" w:type="dxa"/>
            <w:left w:w="15" w:type="dxa"/>
            <w:bottom w:w="15" w:type="dxa"/>
            <w:right w:w="15" w:type="dxa"/>
          </w:tblCellMar>
        </w:tblPrEx>
        <w:trPr>
          <w:trHeight w:val="315" w:hRule="atLeast"/>
        </w:trPr>
        <w:tc>
          <w:tcPr>
            <w:tcW w:w="2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是否接受联合体投标</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r>
              <w:rPr>
                <w:rFonts w:hint="eastAsia" w:ascii="宋体" w:hAnsi="宋体" w:eastAsia="宋体" w:cs="宋体"/>
                <w:bCs/>
                <w:sz w:val="21"/>
                <w:szCs w:val="21"/>
                <w:lang w:bidi="ar"/>
              </w:rPr>
              <w:t>不接受</w:t>
            </w:r>
          </w:p>
        </w:tc>
      </w:tr>
      <w:tr>
        <w:tblPrEx>
          <w:tblLayout w:type="fixed"/>
          <w:tblCellMar>
            <w:top w:w="15" w:type="dxa"/>
            <w:left w:w="15" w:type="dxa"/>
            <w:bottom w:w="15" w:type="dxa"/>
            <w:right w:w="15" w:type="dxa"/>
          </w:tblCellMar>
        </w:tblPrEx>
        <w:trPr>
          <w:trHeight w:val="315" w:hRule="atLeast"/>
        </w:trPr>
        <w:tc>
          <w:tcPr>
            <w:tcW w:w="2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r>
              <w:rPr>
                <w:rFonts w:hint="eastAsia" w:ascii="宋体" w:hAnsi="宋体" w:eastAsia="宋体" w:cs="宋体"/>
                <w:bCs/>
                <w:sz w:val="21"/>
                <w:szCs w:val="21"/>
                <w:lang w:bidi="ar"/>
              </w:rPr>
              <w:t>接受，应满足下列要求：</w:t>
            </w:r>
          </w:p>
        </w:tc>
      </w:tr>
      <w:tr>
        <w:tblPrEx>
          <w:tblLayout w:type="fixed"/>
          <w:tblCellMar>
            <w:top w:w="15" w:type="dxa"/>
            <w:left w:w="15" w:type="dxa"/>
            <w:bottom w:w="15" w:type="dxa"/>
            <w:right w:w="15" w:type="dxa"/>
          </w:tblCellMar>
        </w:tblPrEx>
        <w:trPr>
          <w:trHeight w:val="315" w:hRule="atLeast"/>
        </w:trPr>
        <w:tc>
          <w:tcPr>
            <w:tcW w:w="2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投标预备会</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r>
              <w:rPr>
                <w:rFonts w:hint="eastAsia" w:ascii="宋体" w:hAnsi="宋体" w:eastAsia="宋体" w:cs="宋体"/>
                <w:bCs/>
                <w:sz w:val="21"/>
                <w:szCs w:val="21"/>
                <w:lang w:bidi="ar"/>
              </w:rPr>
              <w:t>不召开</w:t>
            </w:r>
          </w:p>
        </w:tc>
      </w:tr>
      <w:tr>
        <w:tblPrEx>
          <w:tblLayout w:type="fixed"/>
          <w:tblCellMar>
            <w:top w:w="15" w:type="dxa"/>
            <w:left w:w="15" w:type="dxa"/>
            <w:bottom w:w="15" w:type="dxa"/>
            <w:right w:w="15" w:type="dxa"/>
          </w:tblCellMar>
        </w:tblPrEx>
        <w:trPr>
          <w:trHeight w:val="90" w:hRule="atLeast"/>
        </w:trPr>
        <w:tc>
          <w:tcPr>
            <w:tcW w:w="2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r>
              <w:rPr>
                <w:rFonts w:hint="eastAsia" w:ascii="宋体" w:hAnsi="宋体" w:eastAsia="宋体" w:cs="宋体"/>
                <w:bCs/>
                <w:sz w:val="21"/>
                <w:szCs w:val="21"/>
                <w:lang w:bidi="ar"/>
              </w:rPr>
              <w:t>召开，召开时间：/</w:t>
            </w:r>
          </w:p>
        </w:tc>
      </w:tr>
      <w:tr>
        <w:tblPrEx>
          <w:tblLayout w:type="fixed"/>
          <w:tblCellMar>
            <w:top w:w="15" w:type="dxa"/>
            <w:left w:w="15" w:type="dxa"/>
            <w:bottom w:w="15" w:type="dxa"/>
            <w:right w:w="15" w:type="dxa"/>
          </w:tblCellMar>
        </w:tblPrEx>
        <w:trPr>
          <w:trHeight w:val="285" w:hRule="atLeast"/>
        </w:trPr>
        <w:tc>
          <w:tcPr>
            <w:tcW w:w="2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ind w:firstLine="840" w:firstLineChars="400"/>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召开地点：/</w:t>
            </w:r>
          </w:p>
        </w:tc>
      </w:tr>
      <w:tr>
        <w:tblPrEx>
          <w:tblLayout w:type="fixed"/>
          <w:tblCellMar>
            <w:top w:w="15" w:type="dxa"/>
            <w:left w:w="15" w:type="dxa"/>
            <w:bottom w:w="15" w:type="dxa"/>
            <w:right w:w="15" w:type="dxa"/>
          </w:tblCellMar>
        </w:tblPrEx>
        <w:trPr>
          <w:trHeight w:val="315" w:hRule="atLeast"/>
        </w:trPr>
        <w:tc>
          <w:tcPr>
            <w:tcW w:w="2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分包</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r>
              <w:rPr>
                <w:rFonts w:hint="eastAsia" w:ascii="宋体" w:hAnsi="宋体" w:eastAsia="宋体" w:cs="宋体"/>
                <w:bCs/>
                <w:sz w:val="21"/>
                <w:szCs w:val="21"/>
                <w:lang w:bidi="ar"/>
              </w:rPr>
              <w:t>不允许</w:t>
            </w:r>
          </w:p>
        </w:tc>
      </w:tr>
      <w:tr>
        <w:tblPrEx>
          <w:tblLayout w:type="fixed"/>
          <w:tblCellMar>
            <w:top w:w="15" w:type="dxa"/>
            <w:left w:w="15" w:type="dxa"/>
            <w:bottom w:w="15" w:type="dxa"/>
            <w:right w:w="15" w:type="dxa"/>
          </w:tblCellMar>
        </w:tblPrEx>
        <w:trPr>
          <w:trHeight w:val="315" w:hRule="atLeast"/>
        </w:trPr>
        <w:tc>
          <w:tcPr>
            <w:tcW w:w="2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r>
              <w:rPr>
                <w:rFonts w:hint="eastAsia" w:ascii="宋体" w:hAnsi="宋体" w:eastAsia="宋体" w:cs="宋体"/>
                <w:bCs/>
                <w:sz w:val="21"/>
                <w:szCs w:val="21"/>
                <w:lang w:bidi="ar"/>
              </w:rPr>
              <w:t>允许，分包内容要求：/</w:t>
            </w:r>
          </w:p>
        </w:tc>
      </w:tr>
      <w:tr>
        <w:tblPrEx>
          <w:tblLayout w:type="fixed"/>
          <w:tblCellMar>
            <w:top w:w="15" w:type="dxa"/>
            <w:left w:w="15" w:type="dxa"/>
            <w:bottom w:w="15" w:type="dxa"/>
            <w:right w:w="15" w:type="dxa"/>
          </w:tblCellMar>
        </w:tblPrEx>
        <w:trPr>
          <w:trHeight w:val="31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实质性要求和条件</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使用全国爱卫会专家委员会第三次评审认定的卫生杀虫与灭鼠药械名单的药，符合全国爱卫会灭杀标准</w:t>
            </w:r>
          </w:p>
        </w:tc>
      </w:tr>
      <w:tr>
        <w:tblPrEx>
          <w:tblLayout w:type="fixed"/>
          <w:tblCellMar>
            <w:top w:w="15" w:type="dxa"/>
            <w:left w:w="15" w:type="dxa"/>
            <w:bottom w:w="15" w:type="dxa"/>
            <w:right w:w="15" w:type="dxa"/>
          </w:tblCellMar>
        </w:tblPrEx>
        <w:trPr>
          <w:trHeight w:val="90"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偏差</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kern w:val="0"/>
                <w:sz w:val="21"/>
                <w:szCs w:val="21"/>
                <w:lang w:bidi="ar"/>
              </w:rPr>
            </w:pPr>
            <w:r>
              <w:rPr>
                <w:rFonts w:hint="eastAsia" w:ascii="宋体" w:hAnsi="宋体" w:eastAsia="宋体" w:cs="宋体"/>
                <w:bCs/>
                <w:kern w:val="0"/>
                <w:sz w:val="21"/>
                <w:szCs w:val="21"/>
                <w:lang w:bidi="ar"/>
              </w:rPr>
              <w:t>√不允许</w:t>
            </w:r>
          </w:p>
        </w:tc>
      </w:tr>
      <w:tr>
        <w:tblPrEx>
          <w:tblLayout w:type="fixed"/>
          <w:tblCellMar>
            <w:top w:w="15" w:type="dxa"/>
            <w:left w:w="15" w:type="dxa"/>
            <w:bottom w:w="15" w:type="dxa"/>
            <w:right w:w="15" w:type="dxa"/>
          </w:tblCellMar>
        </w:tblPrEx>
        <w:trPr>
          <w:trHeight w:val="570"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构成采购文件的其他资料</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kern w:val="0"/>
                <w:sz w:val="21"/>
                <w:szCs w:val="21"/>
                <w:lang w:bidi="ar"/>
              </w:rPr>
            </w:pPr>
            <w:r>
              <w:rPr>
                <w:rFonts w:hint="eastAsia" w:ascii="宋体" w:hAnsi="宋体" w:eastAsia="宋体" w:cs="宋体"/>
                <w:bCs/>
                <w:kern w:val="0"/>
                <w:sz w:val="21"/>
                <w:szCs w:val="21"/>
                <w:lang w:bidi="ar"/>
              </w:rPr>
              <w:t>采购人发布的有关本次采购的补遗书和通知公告等。</w:t>
            </w:r>
          </w:p>
        </w:tc>
      </w:tr>
      <w:tr>
        <w:tblPrEx>
          <w:tblLayout w:type="fixed"/>
          <w:tblCellMar>
            <w:top w:w="15" w:type="dxa"/>
            <w:left w:w="15" w:type="dxa"/>
            <w:bottom w:w="15" w:type="dxa"/>
            <w:right w:w="15" w:type="dxa"/>
          </w:tblCellMar>
        </w:tblPrEx>
        <w:trPr>
          <w:trHeight w:val="31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竞标人要求澄清采购文件</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kern w:val="0"/>
                <w:sz w:val="21"/>
                <w:szCs w:val="21"/>
                <w:lang w:bidi="ar"/>
              </w:rPr>
            </w:pPr>
            <w:r>
              <w:rPr>
                <w:rFonts w:hint="eastAsia" w:ascii="宋体" w:hAnsi="宋体" w:eastAsia="宋体" w:cs="宋体"/>
                <w:bCs/>
                <w:kern w:val="0"/>
                <w:sz w:val="21"/>
                <w:szCs w:val="21"/>
                <w:lang w:bidi="ar"/>
              </w:rPr>
              <w:t>时间：递交响应文件截止之日3天前</w:t>
            </w:r>
          </w:p>
        </w:tc>
      </w:tr>
      <w:tr>
        <w:tblPrEx>
          <w:tblLayout w:type="fixed"/>
          <w:tblCellMar>
            <w:top w:w="15" w:type="dxa"/>
            <w:left w:w="15" w:type="dxa"/>
            <w:bottom w:w="15" w:type="dxa"/>
            <w:right w:w="15" w:type="dxa"/>
          </w:tblCellMar>
        </w:tblPrEx>
        <w:trPr>
          <w:trHeight w:val="90"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采购文件澄清发出的形式</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kern w:val="0"/>
                <w:sz w:val="21"/>
                <w:szCs w:val="21"/>
                <w:lang w:bidi="ar"/>
              </w:rPr>
            </w:pPr>
            <w:r>
              <w:rPr>
                <w:rFonts w:hint="eastAsia" w:ascii="宋体" w:hAnsi="宋体" w:eastAsia="宋体" w:cs="宋体"/>
                <w:bCs/>
                <w:kern w:val="0"/>
                <w:sz w:val="21"/>
                <w:szCs w:val="21"/>
                <w:lang w:bidi="ar"/>
              </w:rPr>
              <w:t>以公告形式发布，采购人不再以其他方式通知。</w:t>
            </w:r>
          </w:p>
        </w:tc>
      </w:tr>
      <w:tr>
        <w:tblPrEx>
          <w:tblLayout w:type="fixed"/>
          <w:tblCellMar>
            <w:top w:w="15" w:type="dxa"/>
            <w:left w:w="15" w:type="dxa"/>
            <w:bottom w:w="15" w:type="dxa"/>
            <w:right w:w="15" w:type="dxa"/>
          </w:tblCellMar>
        </w:tblPrEx>
        <w:trPr>
          <w:trHeight w:val="31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构成响应文件的其他资料</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u w:val="single"/>
              </w:rPr>
            </w:pPr>
            <w:r>
              <w:rPr>
                <w:rFonts w:hint="eastAsia" w:ascii="宋体" w:hAnsi="宋体" w:eastAsia="宋体" w:cs="宋体"/>
                <w:bCs/>
                <w:kern w:val="0"/>
                <w:sz w:val="21"/>
                <w:szCs w:val="21"/>
                <w:u w:val="single"/>
                <w:lang w:bidi="ar"/>
              </w:rPr>
              <w:t>/</w:t>
            </w:r>
          </w:p>
        </w:tc>
      </w:tr>
      <w:tr>
        <w:tblPrEx>
          <w:tblLayout w:type="fixed"/>
          <w:tblCellMar>
            <w:top w:w="15" w:type="dxa"/>
            <w:left w:w="15" w:type="dxa"/>
            <w:bottom w:w="15" w:type="dxa"/>
            <w:right w:w="15" w:type="dxa"/>
          </w:tblCellMar>
        </w:tblPrEx>
        <w:trPr>
          <w:trHeight w:val="27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最高投标限价</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最高投标限价：47.6</w:t>
            </w:r>
            <w:r>
              <w:rPr>
                <w:rFonts w:ascii="宋体" w:hAnsi="宋体" w:eastAsia="宋体" w:cs="宋体"/>
                <w:bCs/>
                <w:kern w:val="0"/>
                <w:sz w:val="21"/>
                <w:szCs w:val="21"/>
                <w:lang w:bidi="ar"/>
              </w:rPr>
              <w:t>0</w:t>
            </w:r>
            <w:r>
              <w:rPr>
                <w:rFonts w:hint="eastAsia" w:ascii="宋体" w:hAnsi="宋体" w:eastAsia="宋体" w:cs="宋体"/>
                <w:bCs/>
                <w:kern w:val="0"/>
                <w:sz w:val="21"/>
                <w:szCs w:val="21"/>
                <w:lang w:bidi="ar"/>
              </w:rPr>
              <w:t>万元</w:t>
            </w:r>
          </w:p>
        </w:tc>
      </w:tr>
      <w:tr>
        <w:tblPrEx>
          <w:tblLayout w:type="fixed"/>
          <w:tblCellMar>
            <w:top w:w="15" w:type="dxa"/>
            <w:left w:w="15" w:type="dxa"/>
            <w:bottom w:w="15" w:type="dxa"/>
            <w:right w:w="15" w:type="dxa"/>
          </w:tblCellMar>
        </w:tblPrEx>
        <w:trPr>
          <w:trHeight w:val="410" w:hRule="atLeast"/>
        </w:trPr>
        <w:tc>
          <w:tcPr>
            <w:tcW w:w="2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投标报价的其他要求</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1</w:t>
            </w:r>
            <w:r>
              <w:rPr>
                <w:rFonts w:ascii="宋体" w:hAnsi="宋体" w:eastAsia="宋体" w:cs="宋体"/>
                <w:bCs/>
                <w:sz w:val="21"/>
                <w:szCs w:val="21"/>
                <w:lang w:bidi="ar"/>
              </w:rPr>
              <w:t>、</w:t>
            </w:r>
            <w:r>
              <w:rPr>
                <w:rFonts w:hint="eastAsia" w:ascii="宋体" w:hAnsi="宋体" w:eastAsia="宋体" w:cs="宋体"/>
                <w:bCs/>
                <w:sz w:val="21"/>
                <w:szCs w:val="21"/>
                <w:lang w:bidi="ar"/>
              </w:rPr>
              <w:t>竞标人</w:t>
            </w:r>
            <w:r>
              <w:rPr>
                <w:rFonts w:ascii="宋体" w:hAnsi="宋体" w:eastAsia="宋体" w:cs="宋体"/>
                <w:bCs/>
                <w:sz w:val="21"/>
                <w:szCs w:val="21"/>
                <w:lang w:bidi="ar"/>
              </w:rPr>
              <w:t>按照</w:t>
            </w:r>
            <w:r>
              <w:rPr>
                <w:rFonts w:hint="eastAsia" w:ascii="宋体" w:hAnsi="宋体" w:eastAsia="宋体" w:cs="宋体"/>
                <w:bCs/>
                <w:sz w:val="21"/>
                <w:szCs w:val="21"/>
                <w:lang w:bidi="ar"/>
              </w:rPr>
              <w:t>采购</w:t>
            </w:r>
            <w:r>
              <w:rPr>
                <w:rFonts w:ascii="宋体" w:hAnsi="宋体" w:eastAsia="宋体" w:cs="宋体"/>
                <w:bCs/>
                <w:sz w:val="21"/>
                <w:szCs w:val="21"/>
                <w:lang w:bidi="ar"/>
              </w:rPr>
              <w:t>文件中提供的价格清单及填写要求填写；</w:t>
            </w:r>
          </w:p>
        </w:tc>
      </w:tr>
      <w:tr>
        <w:tblPrEx>
          <w:tblLayout w:type="fixed"/>
          <w:tblCellMar>
            <w:top w:w="15" w:type="dxa"/>
            <w:left w:w="15" w:type="dxa"/>
            <w:bottom w:w="15" w:type="dxa"/>
            <w:right w:w="15" w:type="dxa"/>
          </w:tblCellMar>
        </w:tblPrEx>
        <w:trPr>
          <w:trHeight w:val="540" w:hRule="atLeast"/>
        </w:trPr>
        <w:tc>
          <w:tcPr>
            <w:tcW w:w="2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2</w:t>
            </w:r>
            <w:r>
              <w:rPr>
                <w:rFonts w:ascii="宋体" w:hAnsi="宋体" w:eastAsia="宋体" w:cs="宋体"/>
                <w:bCs/>
                <w:sz w:val="21"/>
                <w:szCs w:val="21"/>
                <w:lang w:bidi="ar"/>
              </w:rPr>
              <w:t>、计价方式：采用</w:t>
            </w:r>
            <w:r>
              <w:rPr>
                <w:rFonts w:hint="eastAsia" w:ascii="宋体" w:hAnsi="宋体" w:eastAsia="宋体" w:cs="宋体"/>
                <w:bCs/>
                <w:sz w:val="21"/>
                <w:szCs w:val="21"/>
                <w:u w:val="single"/>
                <w:lang w:bidi="ar"/>
              </w:rPr>
              <w:t xml:space="preserve"> 综合单价</w:t>
            </w:r>
            <w:r>
              <w:rPr>
                <w:rFonts w:hint="eastAsia" w:ascii="宋体" w:hAnsi="宋体" w:eastAsia="宋体" w:cs="宋体"/>
                <w:bCs/>
                <w:sz w:val="21"/>
                <w:szCs w:val="21"/>
                <w:lang w:bidi="ar"/>
              </w:rPr>
              <w:t>报价法；本合同为</w:t>
            </w:r>
            <w:r>
              <w:rPr>
                <w:rFonts w:hint="eastAsia" w:ascii="宋体" w:hAnsi="宋体" w:eastAsia="宋体" w:cs="宋体"/>
                <w:bCs/>
                <w:sz w:val="21"/>
                <w:szCs w:val="21"/>
                <w:u w:val="single"/>
                <w:lang w:bidi="ar"/>
              </w:rPr>
              <w:t xml:space="preserve"> 固定单价 </w:t>
            </w:r>
            <w:r>
              <w:rPr>
                <w:rFonts w:hint="eastAsia" w:ascii="宋体" w:hAnsi="宋体" w:eastAsia="宋体" w:cs="宋体"/>
                <w:bCs/>
                <w:sz w:val="21"/>
                <w:szCs w:val="21"/>
                <w:lang w:bidi="ar"/>
              </w:rPr>
              <w:t>合同。</w:t>
            </w:r>
          </w:p>
        </w:tc>
      </w:tr>
      <w:tr>
        <w:tblPrEx>
          <w:tblLayout w:type="fixed"/>
          <w:tblCellMar>
            <w:top w:w="15" w:type="dxa"/>
            <w:left w:w="15" w:type="dxa"/>
            <w:bottom w:w="15" w:type="dxa"/>
            <w:right w:w="15" w:type="dxa"/>
          </w:tblCellMar>
        </w:tblPrEx>
        <w:trPr>
          <w:trHeight w:val="1733" w:hRule="atLeast"/>
        </w:trPr>
        <w:tc>
          <w:tcPr>
            <w:tcW w:w="2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bCs/>
                <w:sz w:val="21"/>
                <w:szCs w:val="21"/>
              </w:rPr>
            </w:pPr>
            <w:r>
              <w:rPr>
                <w:rFonts w:hint="eastAsia" w:ascii="宋体" w:hAnsi="宋体" w:eastAsia="宋体" w:cs="宋体"/>
                <w:bCs/>
                <w:kern w:val="0"/>
                <w:sz w:val="21"/>
                <w:szCs w:val="21"/>
                <w:lang w:bidi="ar"/>
              </w:rPr>
              <w:t>3</w:t>
            </w:r>
            <w:r>
              <w:rPr>
                <w:rFonts w:ascii="宋体" w:hAnsi="宋体" w:eastAsia="宋体" w:cs="宋体"/>
                <w:bCs/>
                <w:sz w:val="21"/>
                <w:szCs w:val="21"/>
                <w:lang w:bidi="ar"/>
              </w:rPr>
              <w:t>、综合单价为</w:t>
            </w:r>
            <w:r>
              <w:rPr>
                <w:rFonts w:hint="eastAsia" w:ascii="宋体" w:hAnsi="宋体" w:eastAsia="宋体"/>
                <w:sz w:val="21"/>
                <w:szCs w:val="21"/>
              </w:rPr>
              <w:t>人工费、药剂费、运输费、保险费、质保期及询比文件所要求的相关服务等全过程产生的所有成本和费用以及一切税费(开具增值税</w:t>
            </w:r>
            <w:r>
              <w:rPr>
                <w:rFonts w:ascii="宋体" w:hAnsi="宋体" w:eastAsia="宋体"/>
                <w:sz w:val="21"/>
                <w:szCs w:val="21"/>
              </w:rPr>
              <w:t>专</w:t>
            </w:r>
            <w:r>
              <w:rPr>
                <w:rFonts w:hint="eastAsia" w:ascii="宋体" w:hAnsi="宋体" w:eastAsia="宋体"/>
                <w:sz w:val="21"/>
                <w:szCs w:val="21"/>
              </w:rPr>
              <w:t>用发票)、风险等费用，在合同履行期间不得以任何理由提出综合单价变更的请求。</w:t>
            </w:r>
          </w:p>
        </w:tc>
      </w:tr>
      <w:tr>
        <w:tblPrEx>
          <w:tblLayout w:type="fixed"/>
          <w:tblCellMar>
            <w:top w:w="15" w:type="dxa"/>
            <w:left w:w="15" w:type="dxa"/>
            <w:bottom w:w="15" w:type="dxa"/>
            <w:right w:w="15" w:type="dxa"/>
          </w:tblCellMar>
        </w:tblPrEx>
        <w:trPr>
          <w:trHeight w:val="31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投标有效期</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自竞标人提交响应文件截止之日起计算</w:t>
            </w:r>
            <w:r>
              <w:rPr>
                <w:rFonts w:hint="eastAsia" w:ascii="宋体" w:hAnsi="宋体" w:eastAsia="宋体" w:cs="宋体"/>
                <w:bCs/>
                <w:sz w:val="21"/>
                <w:szCs w:val="21"/>
                <w:u w:val="single"/>
                <w:lang w:bidi="ar"/>
              </w:rPr>
              <w:t>90</w:t>
            </w:r>
            <w:r>
              <w:rPr>
                <w:rFonts w:hint="eastAsia" w:ascii="宋体" w:hAnsi="宋体" w:eastAsia="宋体" w:cs="宋体"/>
                <w:bCs/>
                <w:kern w:val="0"/>
                <w:sz w:val="21"/>
                <w:szCs w:val="21"/>
                <w:lang w:bidi="ar"/>
              </w:rPr>
              <w:t>日历天</w:t>
            </w:r>
          </w:p>
        </w:tc>
      </w:tr>
      <w:tr>
        <w:tblPrEx>
          <w:tblLayout w:type="fixed"/>
          <w:tblCellMar>
            <w:top w:w="15" w:type="dxa"/>
            <w:left w:w="15" w:type="dxa"/>
            <w:bottom w:w="15" w:type="dxa"/>
            <w:right w:w="15" w:type="dxa"/>
          </w:tblCellMar>
        </w:tblPrEx>
        <w:trPr>
          <w:trHeight w:val="31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竞标保证金</w:t>
            </w:r>
          </w:p>
        </w:tc>
        <w:tc>
          <w:tcPr>
            <w:tcW w:w="62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宋体"/>
                <w:sz w:val="21"/>
                <w:szCs w:val="21"/>
              </w:rPr>
            </w:pPr>
            <w:r>
              <w:rPr>
                <w:rFonts w:hint="eastAsia" w:ascii="宋体" w:hAnsi="宋体" w:eastAsia="宋体" w:cs="宋体"/>
                <w:sz w:val="21"/>
                <w:szCs w:val="21"/>
              </w:rPr>
              <w:t>竞标保证金的金额：￥9000元。</w:t>
            </w:r>
          </w:p>
          <w:p>
            <w:pPr>
              <w:spacing w:line="320" w:lineRule="exact"/>
              <w:jc w:val="left"/>
              <w:rPr>
                <w:rFonts w:ascii="宋体" w:hAnsi="宋体" w:eastAsia="宋体" w:cs="宋体"/>
                <w:sz w:val="21"/>
                <w:szCs w:val="21"/>
              </w:rPr>
            </w:pPr>
            <w:r>
              <w:rPr>
                <w:rFonts w:hint="eastAsia" w:ascii="宋体" w:hAnsi="宋体" w:eastAsia="宋体" w:cs="宋体"/>
                <w:sz w:val="21"/>
                <w:szCs w:val="21"/>
              </w:rPr>
              <w:t>竞标保证金开户银行、户名、账号见询比公告。</w:t>
            </w:r>
          </w:p>
          <w:p>
            <w:pPr>
              <w:spacing w:line="320" w:lineRule="exact"/>
              <w:jc w:val="left"/>
              <w:rPr>
                <w:rFonts w:ascii="宋体" w:hAnsi="宋体" w:eastAsia="宋体" w:cs="宋体"/>
                <w:sz w:val="21"/>
                <w:szCs w:val="21"/>
              </w:rPr>
            </w:pPr>
            <w:r>
              <w:rPr>
                <w:rFonts w:hint="eastAsia" w:ascii="宋体" w:hAnsi="宋体" w:eastAsia="宋体" w:cs="宋体"/>
                <w:sz w:val="21"/>
                <w:szCs w:val="21"/>
              </w:rPr>
              <w:t>竞标保证金的递交到账的截止时间为：2019年</w:t>
            </w:r>
            <w:r>
              <w:rPr>
                <w:rFonts w:hint="eastAsia" w:ascii="宋体" w:hAnsi="宋体" w:eastAsia="宋体" w:cs="宋体"/>
                <w:sz w:val="21"/>
                <w:szCs w:val="21"/>
                <w:lang w:eastAsia="zh-CN"/>
              </w:rPr>
              <w:t>6月10日上午9:30</w:t>
            </w:r>
            <w:r>
              <w:rPr>
                <w:rFonts w:hint="eastAsia" w:ascii="宋体" w:hAnsi="宋体" w:eastAsia="宋体" w:cs="宋体"/>
                <w:sz w:val="21"/>
                <w:szCs w:val="21"/>
              </w:rPr>
              <w:t>前</w:t>
            </w:r>
          </w:p>
          <w:p>
            <w:pPr>
              <w:spacing w:line="320" w:lineRule="exact"/>
              <w:jc w:val="left"/>
              <w:rPr>
                <w:rFonts w:ascii="宋体" w:hAnsi="宋体" w:eastAsia="宋体" w:cs="宋体"/>
                <w:sz w:val="21"/>
                <w:szCs w:val="21"/>
              </w:rPr>
            </w:pPr>
            <w:r>
              <w:rPr>
                <w:rFonts w:hint="eastAsia" w:ascii="宋体" w:hAnsi="宋体" w:eastAsia="宋体" w:cs="宋体"/>
                <w:sz w:val="21"/>
                <w:szCs w:val="21"/>
              </w:rPr>
              <w:t>竞标保证金的形式：</w:t>
            </w:r>
            <w:r>
              <w:rPr>
                <w:rFonts w:hint="eastAsia" w:ascii="宋体" w:hAnsi="宋体" w:eastAsia="宋体" w:cs="宋体"/>
                <w:b/>
                <w:sz w:val="21"/>
                <w:szCs w:val="21"/>
              </w:rPr>
              <w:t>电汇（转账）或银行保函</w:t>
            </w:r>
          </w:p>
          <w:p>
            <w:pPr>
              <w:widowControl/>
              <w:jc w:val="left"/>
              <w:textAlignment w:val="center"/>
              <w:rPr>
                <w:rFonts w:ascii="宋体" w:hAnsi="宋体" w:eastAsia="宋体" w:cs="宋体"/>
                <w:bCs/>
                <w:sz w:val="21"/>
                <w:szCs w:val="21"/>
              </w:rPr>
            </w:pPr>
            <w:r>
              <w:rPr>
                <w:rFonts w:hint="eastAsia" w:ascii="宋体" w:hAnsi="宋体" w:eastAsia="宋体" w:cs="宋体"/>
                <w:sz w:val="21"/>
                <w:szCs w:val="21"/>
              </w:rPr>
              <w:t>竞标保证金必须在投标截止时间前由竞标人的基本账号一次性汇入上述指定账户并到账，否则视为竞标保证金无效。若采用银行保函形式，则应由竞标人开立基本账户的银行开具，银行保函应采用采购文件提供的格式，银行保函原件装订在响应文件正本之中。</w:t>
            </w:r>
          </w:p>
        </w:tc>
      </w:tr>
      <w:tr>
        <w:tblPrEx>
          <w:tblLayout w:type="fixed"/>
          <w:tblCellMar>
            <w:top w:w="15" w:type="dxa"/>
            <w:left w:w="15" w:type="dxa"/>
            <w:bottom w:w="15" w:type="dxa"/>
            <w:right w:w="15" w:type="dxa"/>
          </w:tblCellMar>
        </w:tblPrEx>
        <w:trPr>
          <w:trHeight w:val="600"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其他可以不予退还竞标保证金的情形</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p>
        </w:tc>
      </w:tr>
      <w:tr>
        <w:tblPrEx>
          <w:tblLayout w:type="fixed"/>
          <w:tblCellMar>
            <w:top w:w="15" w:type="dxa"/>
            <w:left w:w="15" w:type="dxa"/>
            <w:bottom w:w="15" w:type="dxa"/>
            <w:right w:w="15" w:type="dxa"/>
          </w:tblCellMar>
        </w:tblPrEx>
        <w:trPr>
          <w:trHeight w:val="315" w:hRule="atLeast"/>
        </w:trPr>
        <w:tc>
          <w:tcPr>
            <w:tcW w:w="2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资格审查资料的特殊要求</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r>
              <w:rPr>
                <w:rFonts w:hint="eastAsia" w:ascii="宋体" w:hAnsi="宋体" w:eastAsia="宋体" w:cs="宋体"/>
                <w:bCs/>
                <w:sz w:val="21"/>
                <w:szCs w:val="21"/>
                <w:lang w:bidi="ar"/>
              </w:rPr>
              <w:t>无</w:t>
            </w:r>
          </w:p>
        </w:tc>
      </w:tr>
      <w:tr>
        <w:tblPrEx>
          <w:tblLayout w:type="fixed"/>
          <w:tblCellMar>
            <w:top w:w="15" w:type="dxa"/>
            <w:left w:w="15" w:type="dxa"/>
            <w:bottom w:w="15" w:type="dxa"/>
            <w:right w:w="15" w:type="dxa"/>
          </w:tblCellMar>
        </w:tblPrEx>
        <w:trPr>
          <w:trHeight w:val="315" w:hRule="atLeast"/>
        </w:trPr>
        <w:tc>
          <w:tcPr>
            <w:tcW w:w="2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r>
              <w:rPr>
                <w:rFonts w:hint="eastAsia" w:ascii="宋体" w:hAnsi="宋体" w:eastAsia="宋体" w:cs="宋体"/>
                <w:bCs/>
                <w:sz w:val="21"/>
                <w:szCs w:val="21"/>
                <w:lang w:bidi="ar"/>
              </w:rPr>
              <w:t>有，具体要求：</w:t>
            </w:r>
          </w:p>
        </w:tc>
      </w:tr>
      <w:tr>
        <w:tblPrEx>
          <w:tblLayout w:type="fixed"/>
          <w:tblCellMar>
            <w:top w:w="15" w:type="dxa"/>
            <w:left w:w="15" w:type="dxa"/>
            <w:bottom w:w="15" w:type="dxa"/>
            <w:right w:w="15" w:type="dxa"/>
          </w:tblCellMar>
        </w:tblPrEx>
        <w:trPr>
          <w:trHeight w:val="570"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近年完成的类似项目情况的时间要求</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u w:val="single"/>
              </w:rPr>
            </w:pPr>
            <w:r>
              <w:rPr>
                <w:rFonts w:hint="eastAsia" w:ascii="宋体" w:hAnsi="宋体" w:eastAsia="宋体" w:cs="宋体"/>
                <w:bCs/>
                <w:kern w:val="0"/>
                <w:sz w:val="21"/>
                <w:szCs w:val="21"/>
                <w:u w:val="single"/>
                <w:lang w:bidi="ar"/>
              </w:rPr>
              <w:t>2016</w:t>
            </w:r>
            <w:r>
              <w:rPr>
                <w:rFonts w:ascii="宋体" w:hAnsi="宋体" w:eastAsia="宋体" w:cs="宋体"/>
                <w:bCs/>
                <w:sz w:val="21"/>
                <w:szCs w:val="21"/>
                <w:lang w:bidi="ar"/>
              </w:rPr>
              <w:t>年</w:t>
            </w:r>
            <w:r>
              <w:rPr>
                <w:rFonts w:hint="eastAsia" w:ascii="宋体" w:hAnsi="宋体" w:eastAsia="宋体" w:cs="宋体"/>
                <w:bCs/>
                <w:kern w:val="0"/>
                <w:sz w:val="21"/>
                <w:szCs w:val="21"/>
                <w:u w:val="single"/>
                <w:lang w:bidi="ar"/>
              </w:rPr>
              <w:t>1</w:t>
            </w:r>
            <w:r>
              <w:rPr>
                <w:rFonts w:ascii="宋体" w:hAnsi="宋体" w:eastAsia="宋体" w:cs="宋体"/>
                <w:bCs/>
                <w:sz w:val="21"/>
                <w:szCs w:val="21"/>
                <w:lang w:bidi="ar"/>
              </w:rPr>
              <w:t>月</w:t>
            </w:r>
            <w:r>
              <w:rPr>
                <w:rFonts w:hint="eastAsia" w:ascii="宋体" w:hAnsi="宋体" w:eastAsia="宋体" w:cs="宋体"/>
                <w:bCs/>
                <w:sz w:val="21"/>
                <w:szCs w:val="21"/>
                <w:u w:val="single"/>
                <w:lang w:bidi="ar"/>
              </w:rPr>
              <w:t>1</w:t>
            </w:r>
            <w:r>
              <w:rPr>
                <w:rFonts w:ascii="宋体" w:hAnsi="宋体" w:eastAsia="宋体" w:cs="宋体"/>
                <w:bCs/>
                <w:sz w:val="21"/>
                <w:szCs w:val="21"/>
                <w:lang w:bidi="ar"/>
              </w:rPr>
              <w:t>日至今</w:t>
            </w:r>
          </w:p>
        </w:tc>
      </w:tr>
      <w:tr>
        <w:tblPrEx>
          <w:tblLayout w:type="fixed"/>
          <w:tblCellMar>
            <w:top w:w="15" w:type="dxa"/>
            <w:left w:w="15" w:type="dxa"/>
            <w:bottom w:w="15" w:type="dxa"/>
            <w:right w:w="15" w:type="dxa"/>
          </w:tblCellMar>
        </w:tblPrEx>
        <w:trPr>
          <w:trHeight w:val="315" w:hRule="atLeast"/>
        </w:trPr>
        <w:tc>
          <w:tcPr>
            <w:tcW w:w="2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是否允许递交备选投标方案</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r>
              <w:rPr>
                <w:rFonts w:hint="eastAsia" w:ascii="宋体" w:hAnsi="宋体" w:eastAsia="宋体" w:cs="宋体"/>
                <w:bCs/>
                <w:sz w:val="21"/>
                <w:szCs w:val="21"/>
                <w:lang w:bidi="ar"/>
              </w:rPr>
              <w:t>不允许</w:t>
            </w:r>
          </w:p>
        </w:tc>
      </w:tr>
      <w:tr>
        <w:tblPrEx>
          <w:tblLayout w:type="fixed"/>
          <w:tblCellMar>
            <w:top w:w="15" w:type="dxa"/>
            <w:left w:w="15" w:type="dxa"/>
            <w:bottom w:w="15" w:type="dxa"/>
            <w:right w:w="15" w:type="dxa"/>
          </w:tblCellMar>
        </w:tblPrEx>
        <w:trPr>
          <w:trHeight w:val="315" w:hRule="atLeast"/>
        </w:trPr>
        <w:tc>
          <w:tcPr>
            <w:tcW w:w="2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r>
              <w:rPr>
                <w:rFonts w:hint="eastAsia" w:ascii="宋体" w:hAnsi="宋体" w:eastAsia="宋体" w:cs="宋体"/>
                <w:bCs/>
                <w:sz w:val="21"/>
                <w:szCs w:val="21"/>
                <w:lang w:bidi="ar"/>
              </w:rPr>
              <w:t>允许</w:t>
            </w:r>
          </w:p>
        </w:tc>
      </w:tr>
      <w:tr>
        <w:tblPrEx>
          <w:tblLayout w:type="fixed"/>
          <w:tblCellMar>
            <w:top w:w="15" w:type="dxa"/>
            <w:left w:w="15" w:type="dxa"/>
            <w:bottom w:w="15" w:type="dxa"/>
            <w:right w:w="15" w:type="dxa"/>
          </w:tblCellMar>
        </w:tblPrEx>
        <w:trPr>
          <w:trHeight w:val="630" w:hRule="atLeast"/>
        </w:trPr>
        <w:tc>
          <w:tcPr>
            <w:tcW w:w="2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响应文件副本份数及其他要求</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ascii="宋体" w:hAnsi="宋体" w:eastAsia="宋体" w:cs="宋体"/>
                <w:bCs/>
                <w:sz w:val="21"/>
                <w:szCs w:val="21"/>
                <w:lang w:bidi="ar"/>
              </w:rPr>
              <w:t>响应文件正本份数：</w:t>
            </w:r>
            <w:r>
              <w:rPr>
                <w:rFonts w:hint="eastAsia" w:ascii="宋体" w:hAnsi="宋体" w:eastAsia="宋体" w:cs="宋体"/>
                <w:bCs/>
                <w:sz w:val="21"/>
                <w:szCs w:val="21"/>
                <w:lang w:bidi="ar"/>
              </w:rPr>
              <w:t>1</w:t>
            </w:r>
            <w:r>
              <w:rPr>
                <w:rFonts w:ascii="宋体" w:hAnsi="宋体" w:eastAsia="宋体" w:cs="宋体"/>
                <w:bCs/>
                <w:sz w:val="21"/>
                <w:szCs w:val="21"/>
                <w:lang w:bidi="ar"/>
              </w:rPr>
              <w:t>份。</w:t>
            </w:r>
          </w:p>
        </w:tc>
      </w:tr>
      <w:tr>
        <w:tblPrEx>
          <w:tblLayout w:type="fixed"/>
          <w:tblCellMar>
            <w:top w:w="15" w:type="dxa"/>
            <w:left w:w="15" w:type="dxa"/>
            <w:bottom w:w="15" w:type="dxa"/>
            <w:right w:w="15" w:type="dxa"/>
          </w:tblCellMar>
        </w:tblPrEx>
        <w:trPr>
          <w:trHeight w:val="90" w:hRule="atLeast"/>
        </w:trPr>
        <w:tc>
          <w:tcPr>
            <w:tcW w:w="2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是否要求提交电子版文件：/</w:t>
            </w:r>
          </w:p>
        </w:tc>
      </w:tr>
      <w:tr>
        <w:tblPrEx>
          <w:tblLayout w:type="fixed"/>
          <w:tblCellMar>
            <w:top w:w="15" w:type="dxa"/>
            <w:left w:w="15" w:type="dxa"/>
            <w:bottom w:w="15" w:type="dxa"/>
            <w:right w:w="15" w:type="dxa"/>
          </w:tblCellMar>
        </w:tblPrEx>
        <w:trPr>
          <w:trHeight w:val="315" w:hRule="atLeast"/>
        </w:trPr>
        <w:tc>
          <w:tcPr>
            <w:tcW w:w="2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其他要求：/</w:t>
            </w:r>
          </w:p>
        </w:tc>
      </w:tr>
      <w:tr>
        <w:tblPrEx>
          <w:tblLayout w:type="fixed"/>
          <w:tblCellMar>
            <w:top w:w="15" w:type="dxa"/>
            <w:left w:w="15" w:type="dxa"/>
            <w:bottom w:w="15" w:type="dxa"/>
            <w:right w:w="15" w:type="dxa"/>
          </w:tblCellMar>
        </w:tblPrEx>
        <w:trPr>
          <w:trHeight w:val="345" w:hRule="atLeast"/>
        </w:trPr>
        <w:tc>
          <w:tcPr>
            <w:tcW w:w="2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响应文件是否需分册装订</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r>
              <w:rPr>
                <w:rFonts w:hint="eastAsia" w:ascii="宋体" w:hAnsi="宋体" w:eastAsia="宋体" w:cs="宋体"/>
                <w:bCs/>
                <w:sz w:val="21"/>
                <w:szCs w:val="21"/>
                <w:lang w:bidi="ar"/>
              </w:rPr>
              <w:t>不需要</w:t>
            </w:r>
          </w:p>
        </w:tc>
      </w:tr>
      <w:tr>
        <w:tblPrEx>
          <w:tblLayout w:type="fixed"/>
          <w:tblCellMar>
            <w:top w:w="15" w:type="dxa"/>
            <w:left w:w="15" w:type="dxa"/>
            <w:bottom w:w="15" w:type="dxa"/>
            <w:right w:w="15" w:type="dxa"/>
          </w:tblCellMar>
        </w:tblPrEx>
        <w:trPr>
          <w:trHeight w:val="315" w:hRule="atLeast"/>
        </w:trPr>
        <w:tc>
          <w:tcPr>
            <w:tcW w:w="2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r>
              <w:rPr>
                <w:rFonts w:hint="eastAsia" w:ascii="宋体" w:hAnsi="宋体" w:eastAsia="宋体" w:cs="宋体"/>
                <w:bCs/>
                <w:sz w:val="21"/>
                <w:szCs w:val="21"/>
                <w:lang w:bidi="ar"/>
              </w:rPr>
              <w:t>需要，分册装订要求：</w:t>
            </w:r>
          </w:p>
        </w:tc>
      </w:tr>
      <w:tr>
        <w:tblPrEx>
          <w:tblLayout w:type="fixed"/>
          <w:tblCellMar>
            <w:top w:w="15" w:type="dxa"/>
            <w:left w:w="15" w:type="dxa"/>
            <w:bottom w:w="15" w:type="dxa"/>
            <w:right w:w="15" w:type="dxa"/>
          </w:tblCellMar>
        </w:tblPrEx>
        <w:trPr>
          <w:trHeight w:val="792" w:hRule="atLeast"/>
        </w:trPr>
        <w:tc>
          <w:tcPr>
            <w:tcW w:w="2992" w:type="dxa"/>
            <w:tcBorders>
              <w:top w:val="single" w:color="000000" w:sz="4" w:space="0"/>
              <w:left w:val="single" w:color="000000" w:sz="4" w:space="0"/>
              <w:right w:val="single" w:color="000000" w:sz="4" w:space="0"/>
            </w:tcBorders>
          </w:tcPr>
          <w:p>
            <w:pPr>
              <w:jc w:val="left"/>
              <w:rPr>
                <w:rFonts w:ascii="宋体" w:hAnsi="宋体" w:eastAsia="宋体" w:cs="宋体"/>
                <w:b/>
                <w:sz w:val="20"/>
                <w:szCs w:val="24"/>
                <w:lang w:val="zh-CN" w:bidi="zh-CN"/>
              </w:rPr>
            </w:pPr>
          </w:p>
          <w:p>
            <w:pPr>
              <w:jc w:val="left"/>
              <w:rPr>
                <w:rFonts w:ascii="宋体" w:hAnsi="宋体" w:eastAsia="宋体" w:cs="宋体"/>
                <w:b/>
                <w:sz w:val="20"/>
                <w:szCs w:val="24"/>
                <w:lang w:val="zh-CN" w:bidi="zh-CN"/>
              </w:rPr>
            </w:pPr>
          </w:p>
          <w:p>
            <w:pPr>
              <w:ind w:left="147" w:right="141"/>
              <w:jc w:val="center"/>
              <w:rPr>
                <w:rFonts w:ascii="宋体" w:hAnsi="宋体" w:eastAsia="宋体" w:cs="宋体"/>
                <w:bCs/>
                <w:sz w:val="21"/>
                <w:szCs w:val="21"/>
                <w:lang w:val="zh-CN" w:bidi="zh-CN"/>
              </w:rPr>
            </w:pPr>
            <w:r>
              <w:rPr>
                <w:rFonts w:hint="eastAsia" w:ascii="宋体" w:hAnsi="宋体" w:eastAsia="宋体" w:cs="宋体"/>
                <w:sz w:val="21"/>
                <w:szCs w:val="24"/>
                <w:lang w:val="zh-CN" w:bidi="zh-CN"/>
              </w:rPr>
              <w:t>封套上应载明的信息</w:t>
            </w:r>
          </w:p>
        </w:tc>
        <w:tc>
          <w:tcPr>
            <w:tcW w:w="6237"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360" w:lineRule="auto"/>
              <w:rPr>
                <w:rFonts w:ascii="Calibri" w:hAnsi="Calibri" w:eastAsia="宋体"/>
                <w:bCs/>
                <w:kern w:val="0"/>
                <w:sz w:val="21"/>
                <w:szCs w:val="21"/>
                <w:lang w:bidi="ar"/>
              </w:rPr>
            </w:pPr>
            <w:r>
              <w:rPr>
                <w:rFonts w:hint="eastAsia" w:ascii="Calibri" w:hAnsi="Calibri" w:eastAsia="宋体"/>
                <w:bCs/>
                <w:kern w:val="0"/>
                <w:sz w:val="21"/>
                <w:szCs w:val="21"/>
                <w:lang w:bidi="ar"/>
              </w:rPr>
              <w:t>项目名称：驿达公司所属服务区除四害服务项目</w:t>
            </w:r>
          </w:p>
          <w:p>
            <w:pPr>
              <w:widowControl/>
              <w:adjustRightInd w:val="0"/>
              <w:snapToGrid w:val="0"/>
              <w:spacing w:line="360" w:lineRule="auto"/>
              <w:rPr>
                <w:rFonts w:ascii="Calibri" w:hAnsi="Calibri" w:eastAsia="宋体"/>
                <w:bCs/>
                <w:kern w:val="0"/>
                <w:sz w:val="21"/>
                <w:szCs w:val="21"/>
                <w:lang w:bidi="ar"/>
              </w:rPr>
            </w:pPr>
            <w:r>
              <w:rPr>
                <w:rFonts w:hint="eastAsia" w:ascii="宋体" w:hAnsi="宋体" w:eastAsia="宋体" w:cs="宋体"/>
                <w:bCs/>
                <w:kern w:val="0"/>
                <w:sz w:val="21"/>
                <w:szCs w:val="21"/>
                <w:lang w:bidi="ar"/>
              </w:rPr>
              <w:t>响应文件：在2019年6月4日下午</w:t>
            </w:r>
            <w:r>
              <w:rPr>
                <w:rFonts w:ascii="宋体" w:hAnsi="宋体" w:eastAsia="宋体" w:cs="宋体"/>
                <w:bCs/>
                <w:kern w:val="0"/>
                <w:sz w:val="21"/>
                <w:szCs w:val="21"/>
                <w:lang w:bidi="ar"/>
              </w:rPr>
              <w:t>1</w:t>
            </w:r>
            <w:r>
              <w:rPr>
                <w:rFonts w:hint="eastAsia" w:ascii="宋体" w:hAnsi="宋体" w:eastAsia="宋体" w:cs="宋体"/>
                <w:bCs/>
                <w:kern w:val="0"/>
                <w:sz w:val="21"/>
                <w:szCs w:val="21"/>
                <w:lang w:bidi="ar"/>
              </w:rPr>
              <w:t>4：</w:t>
            </w:r>
            <w:r>
              <w:rPr>
                <w:rFonts w:ascii="宋体" w:hAnsi="宋体" w:eastAsia="宋体" w:cs="宋体"/>
                <w:bCs/>
                <w:kern w:val="0"/>
                <w:sz w:val="21"/>
                <w:szCs w:val="21"/>
                <w:lang w:bidi="ar"/>
              </w:rPr>
              <w:t>00</w:t>
            </w:r>
            <w:r>
              <w:rPr>
                <w:rFonts w:hint="eastAsia" w:ascii="宋体" w:hAnsi="宋体" w:eastAsia="宋体" w:cs="宋体"/>
                <w:bCs/>
                <w:kern w:val="0"/>
                <w:sz w:val="21"/>
                <w:szCs w:val="21"/>
                <w:lang w:bidi="ar"/>
              </w:rPr>
              <w:t>（投标截止时间）前不得开启</w:t>
            </w:r>
          </w:p>
        </w:tc>
      </w:tr>
      <w:tr>
        <w:tblPrEx>
          <w:tblLayout w:type="fixed"/>
          <w:tblCellMar>
            <w:top w:w="15" w:type="dxa"/>
            <w:left w:w="15" w:type="dxa"/>
            <w:bottom w:w="15" w:type="dxa"/>
            <w:right w:w="15" w:type="dxa"/>
          </w:tblCellMar>
        </w:tblPrEx>
        <w:trPr>
          <w:trHeight w:val="31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投标截止时间</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同询比公告</w:t>
            </w:r>
          </w:p>
        </w:tc>
      </w:tr>
      <w:tr>
        <w:tblPrEx>
          <w:tblLayout w:type="fixed"/>
          <w:tblCellMar>
            <w:top w:w="15" w:type="dxa"/>
            <w:left w:w="15" w:type="dxa"/>
            <w:bottom w:w="15" w:type="dxa"/>
            <w:right w:w="15" w:type="dxa"/>
          </w:tblCellMar>
        </w:tblPrEx>
        <w:trPr>
          <w:trHeight w:val="31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递交响应文件地点</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同询比公告</w:t>
            </w:r>
          </w:p>
        </w:tc>
      </w:tr>
      <w:tr>
        <w:tblPrEx>
          <w:tblLayout w:type="fixed"/>
          <w:tblCellMar>
            <w:top w:w="15" w:type="dxa"/>
            <w:left w:w="15" w:type="dxa"/>
            <w:bottom w:w="15" w:type="dxa"/>
            <w:right w:w="15" w:type="dxa"/>
          </w:tblCellMar>
        </w:tblPrEx>
        <w:trPr>
          <w:trHeight w:val="315" w:hRule="atLeast"/>
        </w:trPr>
        <w:tc>
          <w:tcPr>
            <w:tcW w:w="2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响应文件是否退还</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r>
              <w:rPr>
                <w:rFonts w:hint="eastAsia" w:ascii="宋体" w:hAnsi="宋体" w:eastAsia="宋体" w:cs="宋体"/>
                <w:bCs/>
                <w:sz w:val="21"/>
                <w:szCs w:val="21"/>
                <w:lang w:bidi="ar"/>
              </w:rPr>
              <w:t>否</w:t>
            </w:r>
          </w:p>
        </w:tc>
      </w:tr>
      <w:tr>
        <w:tblPrEx>
          <w:tblLayout w:type="fixed"/>
          <w:tblCellMar>
            <w:top w:w="15" w:type="dxa"/>
            <w:left w:w="15" w:type="dxa"/>
            <w:bottom w:w="15" w:type="dxa"/>
            <w:right w:w="15" w:type="dxa"/>
          </w:tblCellMar>
        </w:tblPrEx>
        <w:trPr>
          <w:trHeight w:val="315" w:hRule="atLeast"/>
        </w:trPr>
        <w:tc>
          <w:tcPr>
            <w:tcW w:w="2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r>
              <w:rPr>
                <w:rFonts w:hint="eastAsia" w:ascii="宋体" w:hAnsi="宋体" w:eastAsia="宋体" w:cs="宋体"/>
                <w:bCs/>
                <w:sz w:val="21"/>
                <w:szCs w:val="21"/>
                <w:lang w:bidi="ar"/>
              </w:rPr>
              <w:t>是，退还时间：/</w:t>
            </w:r>
          </w:p>
        </w:tc>
      </w:tr>
      <w:tr>
        <w:tblPrEx>
          <w:tblLayout w:type="fixed"/>
          <w:tblCellMar>
            <w:top w:w="15" w:type="dxa"/>
            <w:left w:w="15" w:type="dxa"/>
            <w:bottom w:w="15" w:type="dxa"/>
            <w:right w:w="15" w:type="dxa"/>
          </w:tblCellMar>
        </w:tblPrEx>
        <w:trPr>
          <w:trHeight w:val="915" w:hRule="atLeast"/>
        </w:trPr>
        <w:tc>
          <w:tcPr>
            <w:tcW w:w="2992"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开标时间和地点</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kern w:val="0"/>
                <w:sz w:val="21"/>
                <w:szCs w:val="21"/>
                <w:lang w:bidi="ar"/>
              </w:rPr>
            </w:pPr>
            <w:r>
              <w:rPr>
                <w:rFonts w:hint="eastAsia" w:ascii="宋体" w:hAnsi="宋体" w:eastAsia="宋体" w:cs="宋体"/>
                <w:bCs/>
                <w:color w:val="000000"/>
                <w:kern w:val="0"/>
                <w:sz w:val="21"/>
                <w:szCs w:val="21"/>
                <w:lang w:bidi="ar"/>
              </w:rPr>
              <w:t>响应文件</w:t>
            </w:r>
          </w:p>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开标时间：</w:t>
            </w:r>
            <w:r>
              <w:rPr>
                <w:rFonts w:hint="eastAsia" w:ascii="宋体" w:hAnsi="宋体" w:eastAsia="宋体" w:cs="宋体"/>
                <w:bCs/>
                <w:sz w:val="21"/>
                <w:szCs w:val="21"/>
                <w:u w:val="single"/>
                <w:lang w:bidi="ar"/>
              </w:rPr>
              <w:t>同投标截止时间</w:t>
            </w:r>
          </w:p>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开标地点：</w:t>
            </w:r>
            <w:r>
              <w:rPr>
                <w:rFonts w:hint="eastAsia" w:ascii="宋体" w:hAnsi="宋体" w:eastAsia="宋体" w:cs="宋体"/>
                <w:bCs/>
                <w:sz w:val="21"/>
                <w:szCs w:val="21"/>
                <w:u w:val="single"/>
                <w:lang w:bidi="ar"/>
              </w:rPr>
              <w:t>同递交响应文件地点</w:t>
            </w:r>
          </w:p>
        </w:tc>
      </w:tr>
      <w:tr>
        <w:tblPrEx>
          <w:tblLayout w:type="fixed"/>
          <w:tblCellMar>
            <w:top w:w="15" w:type="dxa"/>
            <w:left w:w="15" w:type="dxa"/>
            <w:bottom w:w="15" w:type="dxa"/>
            <w:right w:w="15" w:type="dxa"/>
          </w:tblCellMar>
        </w:tblPrEx>
        <w:trPr>
          <w:trHeight w:val="315" w:hRule="atLeast"/>
        </w:trPr>
        <w:tc>
          <w:tcPr>
            <w:tcW w:w="299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开标程序</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（1</w:t>
            </w:r>
            <w:r>
              <w:rPr>
                <w:rFonts w:ascii="宋体" w:hAnsi="宋体" w:eastAsia="宋体" w:cs="宋体"/>
                <w:bCs/>
                <w:sz w:val="21"/>
                <w:szCs w:val="21"/>
                <w:lang w:bidi="ar"/>
              </w:rPr>
              <w:t>）密封情况检查：</w:t>
            </w:r>
            <w:r>
              <w:rPr>
                <w:rFonts w:hint="eastAsia" w:ascii="宋体" w:hAnsi="宋体" w:eastAsia="宋体" w:cs="宋体"/>
                <w:bCs/>
                <w:sz w:val="21"/>
                <w:szCs w:val="21"/>
                <w:u w:val="single"/>
                <w:lang w:bidi="ar"/>
              </w:rPr>
              <w:t>竞标单位代表</w:t>
            </w:r>
          </w:p>
        </w:tc>
      </w:tr>
      <w:tr>
        <w:tblPrEx>
          <w:tblLayout w:type="fixed"/>
          <w:tblCellMar>
            <w:top w:w="15" w:type="dxa"/>
            <w:left w:w="15" w:type="dxa"/>
            <w:bottom w:w="15" w:type="dxa"/>
            <w:right w:w="15" w:type="dxa"/>
          </w:tblCellMar>
        </w:tblPrEx>
        <w:trPr>
          <w:trHeight w:val="315" w:hRule="atLeast"/>
        </w:trPr>
        <w:tc>
          <w:tcPr>
            <w:tcW w:w="2992" w:type="dxa"/>
            <w:vMerge w:val="continue"/>
            <w:tcBorders>
              <w:left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（2</w:t>
            </w:r>
            <w:r>
              <w:rPr>
                <w:rFonts w:ascii="宋体" w:hAnsi="宋体" w:eastAsia="宋体" w:cs="宋体"/>
                <w:bCs/>
                <w:sz w:val="21"/>
                <w:szCs w:val="21"/>
                <w:lang w:bidi="ar"/>
              </w:rPr>
              <w:t>）开标顺序：</w:t>
            </w:r>
            <w:r>
              <w:rPr>
                <w:rFonts w:hint="eastAsia" w:ascii="宋体" w:hAnsi="宋体" w:eastAsia="宋体" w:cs="宋体"/>
                <w:bCs/>
                <w:sz w:val="21"/>
                <w:szCs w:val="21"/>
                <w:u w:val="single"/>
                <w:lang w:bidi="ar"/>
              </w:rPr>
              <w:t>随机</w:t>
            </w:r>
          </w:p>
        </w:tc>
      </w:tr>
      <w:tr>
        <w:tblPrEx>
          <w:tblLayout w:type="fixed"/>
          <w:tblCellMar>
            <w:top w:w="15" w:type="dxa"/>
            <w:left w:w="15" w:type="dxa"/>
            <w:bottom w:w="15" w:type="dxa"/>
            <w:right w:w="15" w:type="dxa"/>
          </w:tblCellMar>
        </w:tblPrEx>
        <w:trPr>
          <w:trHeight w:val="91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bCs/>
                <w:sz w:val="21"/>
                <w:szCs w:val="21"/>
              </w:rPr>
            </w:pPr>
            <w:r>
              <w:rPr>
                <w:rFonts w:ascii="宋体" w:hAnsi="宋体" w:eastAsia="宋体"/>
                <w:sz w:val="21"/>
                <w:szCs w:val="21"/>
              </w:rPr>
              <w:t>开标过程中</w:t>
            </w:r>
            <w:r>
              <w:rPr>
                <w:rFonts w:hint="eastAsia" w:ascii="宋体" w:hAnsi="宋体" w:eastAsia="宋体"/>
                <w:sz w:val="21"/>
                <w:szCs w:val="21"/>
              </w:rPr>
              <w:t>，</w:t>
            </w:r>
            <w:r>
              <w:rPr>
                <w:rFonts w:ascii="宋体" w:hAnsi="宋体" w:eastAsia="宋体"/>
                <w:sz w:val="21"/>
                <w:szCs w:val="21"/>
              </w:rPr>
              <w:t>投标报价不参加评标基准价的计算的情况</w:t>
            </w:r>
          </w:p>
        </w:tc>
        <w:tc>
          <w:tcPr>
            <w:tcW w:w="62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sz w:val="21"/>
                <w:szCs w:val="21"/>
              </w:rPr>
            </w:pPr>
            <w:r>
              <w:rPr>
                <w:rFonts w:ascii="宋体" w:hAnsi="宋体" w:eastAsia="宋体"/>
                <w:sz w:val="21"/>
                <w:szCs w:val="21"/>
              </w:rPr>
              <w:t>文末增加：</w:t>
            </w:r>
          </w:p>
          <w:p>
            <w:pPr>
              <w:jc w:val="left"/>
              <w:rPr>
                <w:rFonts w:ascii="宋体" w:hAnsi="宋体" w:eastAsia="宋体" w:cs="宋体"/>
                <w:bCs/>
                <w:sz w:val="21"/>
                <w:szCs w:val="21"/>
              </w:rPr>
            </w:pPr>
            <w:r>
              <w:rPr>
                <w:rFonts w:ascii="宋体" w:hAnsi="宋体" w:eastAsia="宋体"/>
                <w:sz w:val="21"/>
                <w:szCs w:val="21"/>
              </w:rPr>
              <w:t>（5）投标</w:t>
            </w:r>
            <w:r>
              <w:rPr>
                <w:rFonts w:hint="eastAsia" w:ascii="宋体" w:hAnsi="宋体" w:eastAsia="宋体"/>
                <w:sz w:val="21"/>
                <w:szCs w:val="21"/>
              </w:rPr>
              <w:t>报价</w:t>
            </w:r>
            <w:r>
              <w:rPr>
                <w:rFonts w:ascii="宋体" w:hAnsi="宋体" w:eastAsia="宋体"/>
                <w:sz w:val="21"/>
                <w:szCs w:val="21"/>
              </w:rPr>
              <w:t>函大写金额报价与</w:t>
            </w:r>
            <w:r>
              <w:rPr>
                <w:rFonts w:hint="eastAsia" w:ascii="宋体" w:hAnsi="宋体" w:eastAsia="宋体"/>
                <w:sz w:val="21"/>
                <w:szCs w:val="21"/>
              </w:rPr>
              <w:t>分项报价表</w:t>
            </w:r>
            <w:r>
              <w:rPr>
                <w:rFonts w:ascii="宋体" w:hAnsi="宋体" w:eastAsia="宋体"/>
                <w:sz w:val="21"/>
                <w:szCs w:val="21"/>
              </w:rPr>
              <w:t>中的投标报价不一致，由四舍五入引起的除外。</w:t>
            </w:r>
          </w:p>
        </w:tc>
      </w:tr>
      <w:tr>
        <w:tblPrEx>
          <w:tblLayout w:type="fixed"/>
          <w:tblCellMar>
            <w:top w:w="15" w:type="dxa"/>
            <w:left w:w="15" w:type="dxa"/>
            <w:bottom w:w="15" w:type="dxa"/>
            <w:right w:w="15" w:type="dxa"/>
          </w:tblCellMar>
        </w:tblPrEx>
        <w:trPr>
          <w:trHeight w:val="55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kern w:val="0"/>
                <w:sz w:val="21"/>
                <w:szCs w:val="21"/>
                <w:lang w:bidi="ar"/>
              </w:rPr>
            </w:pPr>
            <w:r>
              <w:rPr>
                <w:rFonts w:hint="eastAsia" w:ascii="宋体" w:hAnsi="宋体" w:eastAsia="宋体" w:cs="宋体"/>
                <w:bCs/>
                <w:kern w:val="0"/>
                <w:sz w:val="21"/>
                <w:szCs w:val="21"/>
                <w:lang w:bidi="ar"/>
              </w:rPr>
              <w:t>评审小组的组建</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kern w:val="0"/>
                <w:sz w:val="21"/>
                <w:szCs w:val="21"/>
                <w:lang w:bidi="ar"/>
              </w:rPr>
            </w:pPr>
            <w:r>
              <w:rPr>
                <w:rFonts w:hint="eastAsia" w:ascii="宋体" w:hAnsi="宋体" w:eastAsia="宋体" w:cs="宋体"/>
                <w:bCs/>
                <w:kern w:val="0"/>
                <w:sz w:val="21"/>
                <w:szCs w:val="21"/>
                <w:lang w:bidi="ar"/>
              </w:rPr>
              <w:t>评审小组构成：</w:t>
            </w:r>
            <w:r>
              <w:rPr>
                <w:rFonts w:hint="eastAsia" w:ascii="宋体" w:hAnsi="宋体" w:eastAsia="宋体" w:cs="宋体"/>
                <w:bCs/>
                <w:sz w:val="21"/>
                <w:szCs w:val="21"/>
                <w:u w:val="single"/>
                <w:lang w:bidi="ar"/>
              </w:rPr>
              <w:t>5</w:t>
            </w:r>
            <w:r>
              <w:rPr>
                <w:rFonts w:hint="eastAsia" w:ascii="宋体" w:hAnsi="宋体" w:eastAsia="宋体" w:cs="宋体"/>
                <w:bCs/>
                <w:sz w:val="21"/>
                <w:szCs w:val="21"/>
                <w:lang w:bidi="ar"/>
              </w:rPr>
              <w:t>人，</w:t>
            </w:r>
            <w:r>
              <w:rPr>
                <w:rFonts w:hint="eastAsia" w:ascii="宋体" w:hAnsi="宋体" w:eastAsia="宋体" w:cs="宋体"/>
                <w:bCs/>
                <w:kern w:val="0"/>
                <w:sz w:val="21"/>
                <w:szCs w:val="21"/>
                <w:lang w:bidi="ar"/>
              </w:rPr>
              <w:t xml:space="preserve"> </w:t>
            </w:r>
          </w:p>
        </w:tc>
      </w:tr>
      <w:tr>
        <w:tblPrEx>
          <w:tblLayout w:type="fixed"/>
          <w:tblCellMar>
            <w:top w:w="15" w:type="dxa"/>
            <w:left w:w="15" w:type="dxa"/>
            <w:bottom w:w="15" w:type="dxa"/>
            <w:right w:w="15" w:type="dxa"/>
          </w:tblCellMar>
        </w:tblPrEx>
        <w:trPr>
          <w:trHeight w:val="90"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中标候选人公示媒介及期限</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kern w:val="0"/>
                <w:sz w:val="21"/>
                <w:szCs w:val="21"/>
                <w:lang w:bidi="ar"/>
              </w:rPr>
            </w:pPr>
            <w:r>
              <w:rPr>
                <w:rFonts w:hint="eastAsia" w:ascii="宋体" w:hAnsi="宋体" w:eastAsia="宋体" w:cs="宋体"/>
                <w:bCs/>
                <w:kern w:val="0"/>
                <w:sz w:val="21"/>
                <w:szCs w:val="21"/>
                <w:lang w:bidi="ar"/>
              </w:rPr>
              <w:t>公示媒介：</w:t>
            </w:r>
            <w:r>
              <w:rPr>
                <w:rFonts w:hint="eastAsia" w:ascii="宋体" w:hAnsi="宋体" w:eastAsia="宋体" w:cs="宋体"/>
                <w:bCs/>
                <w:color w:val="FF0000"/>
                <w:sz w:val="21"/>
                <w:szCs w:val="21"/>
                <w:lang w:bidi="ar"/>
              </w:rPr>
              <w:t>安徽省驿达高速公路服务区经营管理有限公司网站</w:t>
            </w:r>
          </w:p>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公示期限：</w:t>
            </w:r>
            <w:r>
              <w:rPr>
                <w:rFonts w:hint="eastAsia" w:ascii="宋体" w:hAnsi="宋体" w:eastAsia="宋体" w:cs="宋体"/>
                <w:bCs/>
                <w:sz w:val="21"/>
                <w:szCs w:val="21"/>
                <w:lang w:bidi="ar"/>
              </w:rPr>
              <w:t>3日</w:t>
            </w:r>
          </w:p>
        </w:tc>
      </w:tr>
      <w:tr>
        <w:tblPrEx>
          <w:tblLayout w:type="fixed"/>
          <w:tblCellMar>
            <w:top w:w="15" w:type="dxa"/>
            <w:left w:w="15" w:type="dxa"/>
            <w:bottom w:w="15" w:type="dxa"/>
            <w:right w:w="15" w:type="dxa"/>
          </w:tblCellMar>
        </w:tblPrEx>
        <w:trPr>
          <w:trHeight w:val="315" w:hRule="atLeast"/>
        </w:trPr>
        <w:tc>
          <w:tcPr>
            <w:tcW w:w="2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是否授权评审小组确定中标人</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□是</w:t>
            </w:r>
          </w:p>
        </w:tc>
      </w:tr>
      <w:tr>
        <w:tblPrEx>
          <w:tblLayout w:type="fixed"/>
          <w:tblCellMar>
            <w:top w:w="15" w:type="dxa"/>
            <w:left w:w="15" w:type="dxa"/>
            <w:bottom w:w="15" w:type="dxa"/>
            <w:right w:w="15" w:type="dxa"/>
          </w:tblCellMar>
        </w:tblPrEx>
        <w:trPr>
          <w:trHeight w:val="315" w:hRule="atLeast"/>
        </w:trPr>
        <w:tc>
          <w:tcPr>
            <w:tcW w:w="2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r>
              <w:rPr>
                <w:rFonts w:hint="eastAsia" w:ascii="宋体" w:hAnsi="宋体" w:eastAsia="宋体" w:cs="宋体"/>
                <w:bCs/>
                <w:sz w:val="21"/>
                <w:szCs w:val="21"/>
                <w:lang w:bidi="ar"/>
              </w:rPr>
              <w:t>否</w:t>
            </w:r>
          </w:p>
        </w:tc>
      </w:tr>
      <w:tr>
        <w:tblPrEx>
          <w:tblLayout w:type="fixed"/>
          <w:tblCellMar>
            <w:top w:w="15" w:type="dxa"/>
            <w:left w:w="15" w:type="dxa"/>
            <w:bottom w:w="15" w:type="dxa"/>
            <w:right w:w="15" w:type="dxa"/>
          </w:tblCellMar>
        </w:tblPrEx>
        <w:trPr>
          <w:trHeight w:val="440" w:hRule="atLeast"/>
        </w:trPr>
        <w:tc>
          <w:tcPr>
            <w:tcW w:w="2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履约保证金</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sz w:val="21"/>
                <w:szCs w:val="21"/>
                <w:lang w:bidi="ar"/>
              </w:rPr>
              <w:t>履约保证金的形式：银行保函或电汇或汇票；采用银行保函时，出具履约担保银行级别须为国有或股份制商业银行支行及其以上。</w:t>
            </w:r>
          </w:p>
        </w:tc>
      </w:tr>
      <w:tr>
        <w:tblPrEx>
          <w:tblLayout w:type="fixed"/>
          <w:tblCellMar>
            <w:top w:w="15" w:type="dxa"/>
            <w:left w:w="15" w:type="dxa"/>
            <w:bottom w:w="15" w:type="dxa"/>
            <w:right w:w="15" w:type="dxa"/>
          </w:tblCellMar>
        </w:tblPrEx>
        <w:trPr>
          <w:trHeight w:val="315" w:hRule="atLeast"/>
        </w:trPr>
        <w:tc>
          <w:tcPr>
            <w:tcW w:w="2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履约保证金的金额：5</w:t>
            </w:r>
            <w:r>
              <w:rPr>
                <w:rFonts w:hint="eastAsia" w:ascii="宋体" w:hAnsi="宋体" w:eastAsia="宋体" w:cs="宋体"/>
                <w:bCs/>
                <w:sz w:val="21"/>
                <w:szCs w:val="21"/>
                <w:lang w:bidi="ar"/>
              </w:rPr>
              <w:t>%</w:t>
            </w:r>
            <w:r>
              <w:rPr>
                <w:rFonts w:hint="eastAsia" w:ascii="宋体" w:hAnsi="宋体" w:eastAsia="宋体" w:cs="宋体"/>
                <w:bCs/>
                <w:kern w:val="0"/>
                <w:sz w:val="21"/>
                <w:szCs w:val="21"/>
                <w:lang w:bidi="ar"/>
              </w:rPr>
              <w:t>签约合同价</w:t>
            </w:r>
          </w:p>
        </w:tc>
      </w:tr>
      <w:tr>
        <w:tblPrEx>
          <w:tblLayout w:type="fixed"/>
          <w:tblCellMar>
            <w:top w:w="15" w:type="dxa"/>
            <w:left w:w="15" w:type="dxa"/>
            <w:bottom w:w="15" w:type="dxa"/>
            <w:right w:w="15" w:type="dxa"/>
          </w:tblCellMar>
        </w:tblPrEx>
        <w:trPr>
          <w:trHeight w:val="285" w:hRule="atLeast"/>
        </w:trPr>
        <w:tc>
          <w:tcPr>
            <w:tcW w:w="2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履约担保提交地点：签定合同的项目单位</w:t>
            </w:r>
          </w:p>
        </w:tc>
      </w:tr>
      <w:tr>
        <w:tblPrEx>
          <w:tblLayout w:type="fixed"/>
          <w:tblCellMar>
            <w:top w:w="15" w:type="dxa"/>
            <w:left w:w="15" w:type="dxa"/>
            <w:bottom w:w="15" w:type="dxa"/>
            <w:right w:w="15" w:type="dxa"/>
          </w:tblCellMar>
        </w:tblPrEx>
        <w:trPr>
          <w:trHeight w:val="620" w:hRule="atLeast"/>
        </w:trPr>
        <w:tc>
          <w:tcPr>
            <w:tcW w:w="2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履约保证金退还时间：按照合同规</w:t>
            </w:r>
            <w:r>
              <w:rPr>
                <w:rFonts w:hint="eastAsia" w:ascii="宋体" w:hAnsi="宋体" w:eastAsia="宋体" w:cs="宋体"/>
                <w:bCs/>
                <w:color w:val="FF0000"/>
                <w:kern w:val="0"/>
                <w:sz w:val="21"/>
                <w:szCs w:val="21"/>
                <w:lang w:bidi="ar"/>
              </w:rPr>
              <w:t>履约完毕</w:t>
            </w:r>
            <w:r>
              <w:rPr>
                <w:rFonts w:hint="eastAsia" w:ascii="宋体" w:hAnsi="宋体" w:eastAsia="宋体" w:cs="宋体"/>
                <w:bCs/>
                <w:kern w:val="0"/>
                <w:sz w:val="21"/>
                <w:szCs w:val="21"/>
                <w:lang w:bidi="ar"/>
              </w:rPr>
              <w:t>并经需方验收合格后的28天内。</w:t>
            </w:r>
          </w:p>
        </w:tc>
      </w:tr>
      <w:tr>
        <w:tblPrEx>
          <w:tblLayout w:type="fixed"/>
          <w:tblCellMar>
            <w:top w:w="15" w:type="dxa"/>
            <w:left w:w="15" w:type="dxa"/>
            <w:bottom w:w="15" w:type="dxa"/>
            <w:right w:w="15" w:type="dxa"/>
          </w:tblCellMar>
        </w:tblPrEx>
        <w:trPr>
          <w:trHeight w:val="315" w:hRule="atLeast"/>
        </w:trPr>
        <w:tc>
          <w:tcPr>
            <w:tcW w:w="2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sz w:val="21"/>
                <w:szCs w:val="21"/>
              </w:rPr>
            </w:pPr>
            <w:r>
              <w:rPr>
                <w:rFonts w:hint="eastAsia" w:ascii="宋体" w:hAnsi="宋体" w:eastAsia="宋体" w:cs="宋体"/>
                <w:bCs/>
                <w:kern w:val="0"/>
                <w:sz w:val="21"/>
                <w:szCs w:val="21"/>
                <w:lang w:bidi="ar"/>
              </w:rPr>
              <w:t>是否采用电子采购投标</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r>
              <w:rPr>
                <w:rFonts w:hint="eastAsia" w:ascii="宋体" w:hAnsi="宋体" w:eastAsia="宋体" w:cs="宋体"/>
                <w:bCs/>
                <w:sz w:val="21"/>
                <w:szCs w:val="21"/>
                <w:lang w:bidi="ar"/>
              </w:rPr>
              <w:t>否</w:t>
            </w:r>
          </w:p>
        </w:tc>
      </w:tr>
      <w:tr>
        <w:tblPrEx>
          <w:tblLayout w:type="fixed"/>
          <w:tblCellMar>
            <w:top w:w="15" w:type="dxa"/>
            <w:left w:w="15" w:type="dxa"/>
            <w:bottom w:w="15" w:type="dxa"/>
            <w:right w:w="15" w:type="dxa"/>
          </w:tblCellMar>
        </w:tblPrEx>
        <w:trPr>
          <w:trHeight w:val="315" w:hRule="atLeast"/>
        </w:trPr>
        <w:tc>
          <w:tcPr>
            <w:tcW w:w="2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sz w:val="21"/>
                <w:szCs w:val="21"/>
              </w:rPr>
            </w:pP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w:t>
            </w:r>
            <w:r>
              <w:rPr>
                <w:rFonts w:hint="eastAsia" w:ascii="宋体" w:hAnsi="宋体" w:eastAsia="宋体" w:cs="宋体"/>
                <w:bCs/>
                <w:sz w:val="21"/>
                <w:szCs w:val="21"/>
                <w:lang w:bidi="ar"/>
              </w:rPr>
              <w:t>是，具体要求：/</w:t>
            </w:r>
          </w:p>
        </w:tc>
      </w:tr>
      <w:tr>
        <w:tblPrEx>
          <w:tblLayout w:type="fixed"/>
          <w:tblCellMar>
            <w:top w:w="15" w:type="dxa"/>
            <w:left w:w="15" w:type="dxa"/>
            <w:bottom w:w="15" w:type="dxa"/>
            <w:right w:w="15" w:type="dxa"/>
          </w:tblCellMar>
        </w:tblPrEx>
        <w:trPr>
          <w:trHeight w:val="315" w:hRule="atLeast"/>
        </w:trPr>
        <w:tc>
          <w:tcPr>
            <w:tcW w:w="9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需要补充的其他内容：</w:t>
            </w:r>
          </w:p>
        </w:tc>
      </w:tr>
      <w:tr>
        <w:tblPrEx>
          <w:tblLayout w:type="fixed"/>
          <w:tblCellMar>
            <w:top w:w="15" w:type="dxa"/>
            <w:left w:w="15" w:type="dxa"/>
            <w:bottom w:w="15" w:type="dxa"/>
            <w:right w:w="15" w:type="dxa"/>
          </w:tblCellMar>
        </w:tblPrEx>
        <w:trPr>
          <w:trHeight w:val="615" w:hRule="atLeast"/>
        </w:trPr>
        <w:tc>
          <w:tcPr>
            <w:tcW w:w="9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sz w:val="21"/>
                <w:szCs w:val="21"/>
              </w:rPr>
            </w:pPr>
            <w:r>
              <w:rPr>
                <w:rFonts w:hint="eastAsia" w:ascii="宋体" w:hAnsi="宋体" w:eastAsia="宋体" w:cs="宋体"/>
                <w:bCs/>
                <w:kern w:val="0"/>
                <w:sz w:val="21"/>
                <w:szCs w:val="21"/>
                <w:lang w:bidi="ar"/>
              </w:rPr>
              <w:t>竞标人放弃中标资格，将没收竞标保证金并作为不良记录纳入行业信用信息管理系统。</w:t>
            </w:r>
          </w:p>
        </w:tc>
      </w:tr>
      <w:tr>
        <w:tblPrEx>
          <w:tblLayout w:type="fixed"/>
          <w:tblCellMar>
            <w:top w:w="15" w:type="dxa"/>
            <w:left w:w="15" w:type="dxa"/>
            <w:bottom w:w="15" w:type="dxa"/>
            <w:right w:w="15" w:type="dxa"/>
          </w:tblCellMar>
        </w:tblPrEx>
        <w:trPr>
          <w:trHeight w:val="430" w:hRule="atLeast"/>
        </w:trPr>
        <w:tc>
          <w:tcPr>
            <w:tcW w:w="9229"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eastAsia="宋体" w:cs="宋体"/>
                <w:b/>
                <w:bCs/>
                <w:sz w:val="21"/>
                <w:szCs w:val="21"/>
              </w:rPr>
            </w:pPr>
            <w:r>
              <w:rPr>
                <w:rFonts w:hint="eastAsia" w:ascii="宋体" w:hAnsi="宋体" w:eastAsia="宋体" w:cs="宋体"/>
                <w:bCs/>
                <w:kern w:val="0"/>
                <w:sz w:val="21"/>
                <w:szCs w:val="21"/>
                <w:lang w:bidi="ar"/>
              </w:rPr>
              <w:t>本项目所有消杀药物由投标方结合项目要求自行考虑承担和支付，并包含在所报的单价和总价内。</w:t>
            </w:r>
          </w:p>
        </w:tc>
      </w:tr>
      <w:tr>
        <w:tblPrEx>
          <w:tblLayout w:type="fixed"/>
          <w:tblCellMar>
            <w:top w:w="15" w:type="dxa"/>
            <w:left w:w="15" w:type="dxa"/>
            <w:bottom w:w="15" w:type="dxa"/>
            <w:right w:w="15" w:type="dxa"/>
          </w:tblCellMar>
        </w:tblPrEx>
        <w:trPr>
          <w:trHeight w:val="1650" w:hRule="atLeast"/>
        </w:trPr>
        <w:tc>
          <w:tcPr>
            <w:tcW w:w="9229" w:type="dxa"/>
            <w:gridSpan w:val="2"/>
            <w:tcBorders>
              <w:top w:val="single" w:color="000000" w:sz="4" w:space="0"/>
              <w:left w:val="single" w:color="000000" w:sz="4" w:space="0"/>
              <w:right w:val="single" w:color="000000" w:sz="4" w:space="0"/>
            </w:tcBorders>
          </w:tcPr>
          <w:p>
            <w:pPr>
              <w:widowControl/>
              <w:jc w:val="left"/>
              <w:textAlignment w:val="top"/>
              <w:rPr>
                <w:rFonts w:ascii="宋体" w:hAnsi="宋体" w:eastAsia="宋体" w:cs="宋体"/>
                <w:bCs/>
                <w:sz w:val="21"/>
                <w:szCs w:val="21"/>
              </w:rPr>
            </w:pPr>
            <w:r>
              <w:rPr>
                <w:rFonts w:hint="eastAsia" w:ascii="宋体" w:hAnsi="宋体" w:eastAsia="宋体" w:cs="宋体"/>
                <w:bCs/>
                <w:kern w:val="0"/>
                <w:sz w:val="21"/>
                <w:szCs w:val="21"/>
                <w:lang w:bidi="ar"/>
              </w:rPr>
              <w:t>采购人将进一步核查竞标人在响应文件中提供的材料，若在评标期间发现竞标人提供了虚假资料，采购人有权对竞标人的响应文件作废标处理，并没收其竞标保证金；若在评标结果公示期间发现作为中标候选人的竞标人提供了虚假资料，采购人有权取消其中标资格并没收其投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竞标人负责。</w:t>
            </w:r>
          </w:p>
        </w:tc>
      </w:tr>
      <w:tr>
        <w:tblPrEx>
          <w:tblLayout w:type="fixed"/>
          <w:tblCellMar>
            <w:top w:w="15" w:type="dxa"/>
            <w:left w:w="15" w:type="dxa"/>
            <w:bottom w:w="15" w:type="dxa"/>
            <w:right w:w="15" w:type="dxa"/>
          </w:tblCellMar>
        </w:tblPrEx>
        <w:trPr>
          <w:trHeight w:val="315" w:hRule="atLeast"/>
        </w:trPr>
        <w:tc>
          <w:tcPr>
            <w:tcW w:w="9229"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eastAsia="宋体" w:cs="宋体"/>
                <w:bCs/>
                <w:sz w:val="21"/>
                <w:szCs w:val="21"/>
              </w:rPr>
            </w:pPr>
            <w:r>
              <w:rPr>
                <w:rFonts w:hint="eastAsia" w:ascii="宋体" w:hAnsi="宋体" w:eastAsia="宋体" w:cs="宋体"/>
                <w:bCs/>
                <w:sz w:val="21"/>
                <w:szCs w:val="21"/>
              </w:rPr>
              <w:t>报价文件开标过程中，若采购人发现响应文件出现以下任一情况，其投标报价不参加评标基准价的计算：</w:t>
            </w:r>
          </w:p>
          <w:p>
            <w:pPr>
              <w:widowControl/>
              <w:jc w:val="left"/>
              <w:textAlignment w:val="top"/>
              <w:rPr>
                <w:rFonts w:ascii="宋体" w:hAnsi="宋体" w:eastAsia="宋体" w:cs="宋体"/>
                <w:bCs/>
                <w:sz w:val="21"/>
                <w:szCs w:val="21"/>
              </w:rPr>
            </w:pPr>
            <w:r>
              <w:rPr>
                <w:rFonts w:hint="eastAsia" w:ascii="宋体" w:hAnsi="宋体" w:eastAsia="宋体" w:cs="宋体"/>
                <w:bCs/>
                <w:sz w:val="21"/>
                <w:szCs w:val="21"/>
              </w:rPr>
              <w:t>（1）未在投标函上填写投标总价；</w:t>
            </w:r>
          </w:p>
          <w:p>
            <w:pPr>
              <w:widowControl/>
              <w:jc w:val="left"/>
              <w:textAlignment w:val="top"/>
              <w:rPr>
                <w:rFonts w:ascii="宋体" w:hAnsi="宋体" w:eastAsia="宋体" w:cs="宋体"/>
                <w:bCs/>
                <w:sz w:val="21"/>
                <w:szCs w:val="21"/>
              </w:rPr>
            </w:pPr>
            <w:r>
              <w:rPr>
                <w:rFonts w:hint="eastAsia" w:ascii="宋体" w:hAnsi="宋体" w:eastAsia="宋体" w:cs="宋体"/>
                <w:bCs/>
                <w:sz w:val="21"/>
                <w:szCs w:val="21"/>
              </w:rPr>
              <w:t>（2）投标报价或调价函中的报价超出采购人公布的最高投标限价(如有)。</w:t>
            </w:r>
          </w:p>
          <w:p>
            <w:pPr>
              <w:widowControl/>
              <w:jc w:val="left"/>
              <w:textAlignment w:val="top"/>
              <w:rPr>
                <w:rFonts w:ascii="宋体" w:hAnsi="宋体" w:eastAsia="宋体" w:cs="宋体"/>
                <w:bCs/>
                <w:sz w:val="21"/>
                <w:szCs w:val="21"/>
              </w:rPr>
            </w:pPr>
            <w:r>
              <w:rPr>
                <w:rFonts w:hint="eastAsia" w:ascii="宋体" w:hAnsi="宋体" w:eastAsia="宋体" w:cs="宋体"/>
                <w:bCs/>
                <w:sz w:val="21"/>
                <w:szCs w:val="21"/>
              </w:rPr>
              <w:t>（3）投标报价或调价函中的报价的大写金额无法确定具体数值；</w:t>
            </w:r>
          </w:p>
          <w:p>
            <w:pPr>
              <w:widowControl/>
              <w:jc w:val="left"/>
              <w:textAlignment w:val="top"/>
              <w:rPr>
                <w:rFonts w:ascii="宋体" w:hAnsi="宋体" w:eastAsia="宋体" w:cs="宋体"/>
                <w:bCs/>
                <w:sz w:val="21"/>
                <w:szCs w:val="21"/>
              </w:rPr>
            </w:pPr>
            <w:r>
              <w:rPr>
                <w:rFonts w:hint="eastAsia" w:ascii="宋体" w:hAnsi="宋体" w:eastAsia="宋体" w:cs="宋体"/>
                <w:bCs/>
                <w:sz w:val="21"/>
                <w:szCs w:val="21"/>
              </w:rPr>
              <w:t>（4）投标函上填写的标段号与响应文件封套上标记的标段号不一致；</w:t>
            </w:r>
          </w:p>
          <w:p>
            <w:pPr>
              <w:widowControl/>
              <w:jc w:val="left"/>
              <w:textAlignment w:val="top"/>
              <w:rPr>
                <w:rFonts w:ascii="宋体" w:hAnsi="宋体" w:eastAsia="宋体" w:cs="宋体"/>
                <w:bCs/>
                <w:sz w:val="21"/>
                <w:szCs w:val="21"/>
              </w:rPr>
            </w:pPr>
            <w:r>
              <w:rPr>
                <w:rFonts w:hint="eastAsia" w:ascii="宋体" w:hAnsi="宋体" w:eastAsia="宋体" w:cs="宋体"/>
                <w:bCs/>
                <w:sz w:val="21"/>
                <w:szCs w:val="21"/>
              </w:rPr>
              <w:t>（5）投标报价函大写金额报价与分项报价表中的投标报价不一致，由四舍五入引起的除外。</w:t>
            </w:r>
          </w:p>
        </w:tc>
      </w:tr>
      <w:tr>
        <w:tblPrEx>
          <w:tblLayout w:type="fixed"/>
          <w:tblCellMar>
            <w:top w:w="15" w:type="dxa"/>
            <w:left w:w="15" w:type="dxa"/>
            <w:bottom w:w="15" w:type="dxa"/>
            <w:right w:w="15" w:type="dxa"/>
          </w:tblCellMar>
        </w:tblPrEx>
        <w:trPr>
          <w:trHeight w:val="315" w:hRule="atLeast"/>
        </w:trPr>
        <w:tc>
          <w:tcPr>
            <w:tcW w:w="9229" w:type="dxa"/>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eastAsia="宋体" w:cs="宋体"/>
                <w:bCs/>
                <w:sz w:val="21"/>
                <w:szCs w:val="21"/>
              </w:rPr>
            </w:pPr>
            <w:r>
              <w:rPr>
                <w:rFonts w:hint="eastAsia" w:ascii="宋体" w:hAnsi="宋体" w:eastAsia="宋体" w:cs="宋体"/>
                <w:bCs/>
                <w:color w:val="000000"/>
                <w:sz w:val="22"/>
                <w:szCs w:val="22"/>
              </w:rPr>
              <w:t>采购人有权要求对中标单位在四害消杀期间提供的药物进行随机抽检。须符合全国爱卫会指定药物标准。如不符合则需要承担检测费用，并没收其履约保证金。</w:t>
            </w:r>
          </w:p>
        </w:tc>
      </w:tr>
    </w:tbl>
    <w:p>
      <w:pPr>
        <w:jc w:val="left"/>
        <w:rPr>
          <w:rFonts w:ascii="Calibri" w:hAnsi="Calibri" w:eastAsia="宋体"/>
          <w:sz w:val="24"/>
          <w:szCs w:val="24"/>
        </w:rPr>
        <w:sectPr>
          <w:headerReference r:id="rId12"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bookmarkEnd w:id="5"/>
    <w:p>
      <w:pPr>
        <w:spacing w:line="400" w:lineRule="exact"/>
        <w:jc w:val="center"/>
        <w:rPr>
          <w:rFonts w:ascii="宋体" w:hAnsi="宋体" w:eastAsia="宋体"/>
          <w:bCs/>
        </w:rPr>
      </w:pPr>
    </w:p>
    <w:p>
      <w:pPr>
        <w:keepNext/>
        <w:jc w:val="center"/>
        <w:outlineLvl w:val="0"/>
        <w:rPr>
          <w:rFonts w:ascii="仿宋" w:hAnsi="仿宋" w:eastAsia="仿宋"/>
          <w:b/>
          <w:bCs/>
          <w:sz w:val="36"/>
          <w:szCs w:val="36"/>
        </w:rPr>
      </w:pPr>
      <w:bookmarkStart w:id="6" w:name="_Toc31095"/>
      <w:bookmarkStart w:id="7" w:name="_Toc12492"/>
      <w:bookmarkStart w:id="8" w:name="_Toc17936"/>
      <w:bookmarkStart w:id="9" w:name="_Toc32520"/>
      <w:r>
        <w:rPr>
          <w:rFonts w:hint="eastAsia" w:ascii="仿宋" w:hAnsi="仿宋" w:eastAsia="仿宋"/>
          <w:b/>
          <w:sz w:val="36"/>
          <w:szCs w:val="36"/>
        </w:rPr>
        <w:t>第三章 评标办法（综合评标法）</w:t>
      </w:r>
    </w:p>
    <w:p>
      <w:pPr>
        <w:snapToGrid w:val="0"/>
        <w:spacing w:line="312" w:lineRule="auto"/>
        <w:rPr>
          <w:rFonts w:ascii="仿宋" w:hAnsi="仿宋" w:eastAsia="仿宋" w:cs="仿宋"/>
          <w:b/>
        </w:rPr>
      </w:pPr>
      <w:r>
        <w:rPr>
          <w:rFonts w:hint="eastAsia" w:ascii="仿宋" w:hAnsi="仿宋" w:eastAsia="仿宋" w:cs="仿宋"/>
          <w:b/>
        </w:rPr>
        <w:t>1、总则</w:t>
      </w:r>
    </w:p>
    <w:p>
      <w:pPr>
        <w:snapToGrid w:val="0"/>
        <w:spacing w:line="312" w:lineRule="auto"/>
        <w:rPr>
          <w:rFonts w:ascii="仿宋" w:hAnsi="仿宋" w:eastAsia="仿宋" w:cs="仿宋"/>
          <w:bCs/>
          <w:spacing w:val="-6"/>
        </w:rPr>
      </w:pPr>
      <w:r>
        <w:rPr>
          <w:rFonts w:hint="eastAsia" w:ascii="仿宋" w:hAnsi="仿宋" w:eastAsia="仿宋" w:cs="仿宋"/>
          <w:b/>
          <w:bCs/>
        </w:rPr>
        <w:t>1.1</w:t>
      </w:r>
      <w:r>
        <w:rPr>
          <w:rFonts w:hint="eastAsia" w:ascii="仿宋" w:hAnsi="仿宋" w:eastAsia="仿宋" w:cs="仿宋"/>
          <w:bCs/>
          <w:spacing w:val="-6"/>
        </w:rPr>
        <w:t>为规范本工程造价咨询评标工作，根据《中华人民共和国招标投标法》、《中华人民共和国招标投标法实施条例》、《评审小组和评标方法暂行规定》（国家发改委等七部委令2001年第12号令）、《公路工程建设项目招标投标管理办法》（交通运输部令2015年24号令）等有关规定，并结合本项目询比文件，制订本评标办法。</w:t>
      </w:r>
    </w:p>
    <w:p>
      <w:pPr>
        <w:snapToGrid w:val="0"/>
        <w:spacing w:line="312" w:lineRule="auto"/>
        <w:rPr>
          <w:rFonts w:ascii="仿宋" w:hAnsi="仿宋" w:eastAsia="仿宋" w:cs="仿宋"/>
        </w:rPr>
      </w:pPr>
      <w:r>
        <w:rPr>
          <w:rFonts w:hint="eastAsia" w:ascii="仿宋" w:hAnsi="仿宋" w:eastAsia="仿宋" w:cs="仿宋"/>
          <w:b/>
          <w:bCs/>
        </w:rPr>
        <w:t>1.2</w:t>
      </w:r>
      <w:r>
        <w:rPr>
          <w:rFonts w:hint="eastAsia" w:ascii="仿宋" w:hAnsi="仿宋" w:eastAsia="仿宋" w:cs="仿宋"/>
          <w:bCs/>
          <w:spacing w:val="-6"/>
        </w:rPr>
        <w:t>评标活动遵循公平、公正、科学、择优的原则。</w:t>
      </w:r>
    </w:p>
    <w:p>
      <w:pPr>
        <w:snapToGrid w:val="0"/>
        <w:spacing w:line="312" w:lineRule="auto"/>
        <w:rPr>
          <w:rFonts w:ascii="仿宋" w:hAnsi="仿宋" w:eastAsia="仿宋" w:cs="仿宋"/>
        </w:rPr>
      </w:pPr>
      <w:r>
        <w:rPr>
          <w:rFonts w:hint="eastAsia" w:ascii="仿宋" w:hAnsi="仿宋" w:eastAsia="仿宋" w:cs="仿宋"/>
          <w:b/>
          <w:bCs/>
        </w:rPr>
        <w:t>1.3</w:t>
      </w:r>
      <w:r>
        <w:rPr>
          <w:rFonts w:hint="eastAsia" w:ascii="仿宋" w:hAnsi="仿宋" w:eastAsia="仿宋" w:cs="仿宋"/>
          <w:bCs/>
          <w:spacing w:val="-6"/>
        </w:rPr>
        <w:t>评标活动应在严格保密的情况下进行。评标人员必须严格遵守保密规定，不得和竞标人串通，不得泄露与评标活动有关的情况，不得索贿受贿，不得参加可能影响公正评标的任何活动。评标期间竞标人不得干扰评标工作，不得采用行贿或其他不正当手段影响评标。</w:t>
      </w:r>
    </w:p>
    <w:p>
      <w:pPr>
        <w:snapToGrid w:val="0"/>
        <w:spacing w:line="312" w:lineRule="auto"/>
        <w:rPr>
          <w:rFonts w:ascii="仿宋" w:hAnsi="仿宋" w:eastAsia="仿宋" w:cs="仿宋"/>
          <w:b/>
          <w:bCs/>
          <w:spacing w:val="-6"/>
        </w:rPr>
      </w:pPr>
      <w:r>
        <w:rPr>
          <w:rFonts w:hint="eastAsia" w:ascii="仿宋" w:hAnsi="仿宋" w:eastAsia="仿宋" w:cs="仿宋"/>
          <w:b/>
          <w:bCs/>
        </w:rPr>
        <w:t>1.4</w:t>
      </w:r>
      <w:r>
        <w:rPr>
          <w:rFonts w:hint="eastAsia" w:ascii="仿宋" w:hAnsi="仿宋" w:eastAsia="仿宋" w:cs="仿宋"/>
          <w:b/>
          <w:bCs/>
          <w:spacing w:val="-6"/>
        </w:rPr>
        <w:t>本项目评标采用综合评标法。</w:t>
      </w:r>
    </w:p>
    <w:p>
      <w:pPr>
        <w:snapToGrid w:val="0"/>
        <w:spacing w:line="312" w:lineRule="auto"/>
        <w:rPr>
          <w:rFonts w:ascii="仿宋" w:hAnsi="仿宋" w:eastAsia="仿宋" w:cs="仿宋"/>
          <w:b/>
        </w:rPr>
      </w:pPr>
      <w:r>
        <w:rPr>
          <w:rFonts w:hint="eastAsia" w:ascii="仿宋" w:hAnsi="仿宋" w:eastAsia="仿宋" w:cs="仿宋"/>
          <w:b/>
        </w:rPr>
        <w:t>2、评标组织与职责</w:t>
      </w:r>
    </w:p>
    <w:p>
      <w:pPr>
        <w:snapToGrid w:val="0"/>
        <w:spacing w:line="312" w:lineRule="auto"/>
        <w:rPr>
          <w:rFonts w:ascii="仿宋" w:hAnsi="仿宋" w:eastAsia="仿宋" w:cs="仿宋"/>
          <w:bCs/>
          <w:spacing w:val="-6"/>
        </w:rPr>
      </w:pPr>
      <w:r>
        <w:rPr>
          <w:rFonts w:hint="eastAsia" w:ascii="仿宋" w:hAnsi="仿宋" w:eastAsia="仿宋" w:cs="仿宋"/>
          <w:b/>
          <w:bCs/>
        </w:rPr>
        <w:t>2.1</w:t>
      </w:r>
      <w:r>
        <w:rPr>
          <w:rFonts w:hint="eastAsia" w:ascii="仿宋" w:hAnsi="仿宋" w:eastAsia="仿宋" w:cs="仿宋"/>
          <w:bCs/>
          <w:spacing w:val="-6"/>
        </w:rPr>
        <w:t>评审小组组成</w:t>
      </w:r>
    </w:p>
    <w:p>
      <w:pPr>
        <w:snapToGrid w:val="0"/>
        <w:spacing w:line="312" w:lineRule="auto"/>
        <w:ind w:firstLine="640" w:firstLineChars="200"/>
        <w:rPr>
          <w:rFonts w:ascii="仿宋" w:hAnsi="仿宋" w:eastAsia="仿宋" w:cs="仿宋"/>
        </w:rPr>
      </w:pPr>
      <w:r>
        <w:rPr>
          <w:rFonts w:hint="eastAsia" w:ascii="仿宋" w:hAnsi="仿宋" w:eastAsia="仿宋" w:cs="仿宋"/>
        </w:rPr>
        <w:t>采购人依法组建评审小组。人数为5人，其中采购人代表2人，专家评委3人。</w:t>
      </w:r>
    </w:p>
    <w:p>
      <w:pPr>
        <w:snapToGrid w:val="0"/>
        <w:spacing w:line="312" w:lineRule="auto"/>
        <w:rPr>
          <w:rFonts w:ascii="仿宋" w:hAnsi="仿宋" w:eastAsia="仿宋" w:cs="仿宋"/>
          <w:bCs/>
          <w:spacing w:val="-6"/>
        </w:rPr>
      </w:pPr>
      <w:r>
        <w:rPr>
          <w:rFonts w:hint="eastAsia" w:ascii="仿宋" w:hAnsi="仿宋" w:eastAsia="仿宋" w:cs="仿宋"/>
          <w:b/>
          <w:bCs/>
        </w:rPr>
        <w:t>2.2</w:t>
      </w:r>
      <w:r>
        <w:rPr>
          <w:rFonts w:hint="eastAsia" w:ascii="仿宋" w:hAnsi="仿宋" w:eastAsia="仿宋" w:cs="仿宋"/>
          <w:bCs/>
          <w:spacing w:val="-6"/>
        </w:rPr>
        <w:t>评审小组职责</w:t>
      </w:r>
    </w:p>
    <w:p>
      <w:pPr>
        <w:snapToGrid w:val="0"/>
        <w:spacing w:line="312" w:lineRule="auto"/>
        <w:ind w:firstLine="557" w:firstLineChars="181"/>
        <w:rPr>
          <w:rFonts w:ascii="仿宋" w:hAnsi="仿宋" w:eastAsia="仿宋" w:cs="仿宋"/>
          <w:bCs/>
          <w:spacing w:val="-6"/>
        </w:rPr>
      </w:pPr>
      <w:r>
        <w:rPr>
          <w:rFonts w:hint="eastAsia" w:ascii="仿宋" w:hAnsi="仿宋" w:eastAsia="仿宋" w:cs="仿宋"/>
          <w:bCs/>
          <w:spacing w:val="-6"/>
        </w:rPr>
        <w:t>（1）对响应文件进行初步评审、资格审查；</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（2）确定评审需澄清、核实的内容；</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（3）进行商务、技术和财务的详细评审；</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（4）综合评分并推荐中选候选人；</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（5）建议是否重新招标；</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（6）完成书面评标报告提交采购人。</w:t>
      </w:r>
    </w:p>
    <w:p>
      <w:pPr>
        <w:snapToGrid w:val="0"/>
        <w:spacing w:line="312" w:lineRule="auto"/>
        <w:rPr>
          <w:rFonts w:ascii="仿宋" w:hAnsi="仿宋" w:eastAsia="仿宋" w:cs="仿宋"/>
          <w:b/>
        </w:rPr>
      </w:pPr>
      <w:r>
        <w:rPr>
          <w:rFonts w:hint="eastAsia" w:ascii="仿宋" w:hAnsi="仿宋" w:eastAsia="仿宋" w:cs="仿宋"/>
          <w:b/>
        </w:rPr>
        <w:t>3、评审程序</w:t>
      </w:r>
    </w:p>
    <w:p>
      <w:pPr>
        <w:snapToGrid w:val="0"/>
        <w:spacing w:line="312" w:lineRule="auto"/>
        <w:rPr>
          <w:rFonts w:ascii="仿宋" w:hAnsi="仿宋" w:eastAsia="仿宋" w:cs="仿宋"/>
          <w:bCs/>
          <w:spacing w:val="-6"/>
        </w:rPr>
      </w:pPr>
      <w:r>
        <w:rPr>
          <w:rFonts w:hint="eastAsia" w:ascii="仿宋" w:hAnsi="仿宋" w:eastAsia="仿宋" w:cs="仿宋"/>
          <w:b/>
          <w:bCs/>
        </w:rPr>
        <w:t>3.1</w:t>
      </w:r>
      <w:r>
        <w:rPr>
          <w:rFonts w:hint="eastAsia" w:ascii="仿宋" w:hAnsi="仿宋" w:eastAsia="仿宋" w:cs="仿宋"/>
          <w:bCs/>
          <w:spacing w:val="-6"/>
        </w:rPr>
        <w:t>评标准备</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评审小组开始评标工作之前，必须首先认真研读询比文件；采购人应当向评审小组提供询比文件、评标办法和评标所需的其它重要信息与数据，协助评审小组了解和熟悉招标项目的如下内容：</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（1）询比项目的内容；</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（2）询比文件规定的评标办法；</w:t>
      </w:r>
    </w:p>
    <w:p>
      <w:pPr>
        <w:snapToGrid w:val="0"/>
        <w:spacing w:line="312" w:lineRule="auto"/>
        <w:ind w:firstLine="557" w:firstLineChars="181"/>
        <w:rPr>
          <w:rFonts w:ascii="仿宋" w:hAnsi="仿宋" w:eastAsia="仿宋" w:cs="仿宋"/>
          <w:bCs/>
          <w:spacing w:val="-6"/>
        </w:rPr>
      </w:pPr>
      <w:r>
        <w:rPr>
          <w:rFonts w:hint="eastAsia" w:ascii="仿宋" w:hAnsi="仿宋" w:eastAsia="仿宋" w:cs="仿宋"/>
          <w:bCs/>
          <w:spacing w:val="-6"/>
        </w:rPr>
        <w:t>（3）询比文件规定的其他与评标有关的内容。</w:t>
      </w:r>
    </w:p>
    <w:p>
      <w:pPr>
        <w:snapToGrid w:val="0"/>
        <w:spacing w:line="312" w:lineRule="auto"/>
        <w:rPr>
          <w:rFonts w:ascii="仿宋" w:hAnsi="仿宋" w:eastAsia="仿宋" w:cs="仿宋"/>
        </w:rPr>
      </w:pPr>
      <w:r>
        <w:rPr>
          <w:rFonts w:hint="eastAsia" w:ascii="仿宋" w:hAnsi="仿宋" w:eastAsia="仿宋" w:cs="仿宋"/>
          <w:b/>
          <w:bCs/>
        </w:rPr>
        <w:t xml:space="preserve">3.2 </w:t>
      </w:r>
      <w:r>
        <w:rPr>
          <w:rFonts w:hint="eastAsia" w:ascii="仿宋" w:hAnsi="仿宋" w:eastAsia="仿宋" w:cs="仿宋"/>
        </w:rPr>
        <w:t>评审程序</w:t>
      </w:r>
    </w:p>
    <w:p>
      <w:pPr>
        <w:snapToGrid w:val="0"/>
        <w:spacing w:line="312" w:lineRule="auto"/>
        <w:ind w:firstLine="557" w:firstLineChars="181"/>
        <w:rPr>
          <w:rFonts w:ascii="仿宋" w:hAnsi="仿宋" w:eastAsia="仿宋" w:cs="仿宋"/>
          <w:bCs/>
          <w:spacing w:val="-6"/>
        </w:rPr>
      </w:pPr>
      <w:r>
        <w:rPr>
          <w:rFonts w:hint="eastAsia" w:ascii="仿宋" w:hAnsi="仿宋" w:eastAsia="仿宋" w:cs="仿宋"/>
          <w:bCs/>
          <w:spacing w:val="-6"/>
        </w:rPr>
        <w:t>（1）初步评审；</w:t>
      </w:r>
    </w:p>
    <w:p>
      <w:pPr>
        <w:snapToGrid w:val="0"/>
        <w:spacing w:line="312" w:lineRule="auto"/>
        <w:ind w:firstLine="557" w:firstLineChars="181"/>
        <w:rPr>
          <w:rFonts w:ascii="仿宋" w:hAnsi="仿宋" w:eastAsia="仿宋" w:cs="仿宋"/>
          <w:bCs/>
          <w:spacing w:val="-6"/>
        </w:rPr>
      </w:pPr>
      <w:r>
        <w:rPr>
          <w:rFonts w:hint="eastAsia" w:ascii="仿宋" w:hAnsi="仿宋" w:eastAsia="仿宋" w:cs="仿宋"/>
          <w:bCs/>
          <w:spacing w:val="-6"/>
        </w:rPr>
        <w:t>（2）资格审查；</w:t>
      </w:r>
    </w:p>
    <w:p>
      <w:pPr>
        <w:snapToGrid w:val="0"/>
        <w:spacing w:line="312" w:lineRule="auto"/>
        <w:ind w:firstLine="557" w:firstLineChars="181"/>
        <w:rPr>
          <w:rFonts w:ascii="仿宋" w:hAnsi="仿宋" w:eastAsia="仿宋" w:cs="仿宋"/>
          <w:bCs/>
          <w:spacing w:val="-6"/>
        </w:rPr>
      </w:pPr>
      <w:r>
        <w:rPr>
          <w:rFonts w:hint="eastAsia" w:ascii="仿宋" w:hAnsi="仿宋" w:eastAsia="仿宋" w:cs="仿宋"/>
          <w:bCs/>
          <w:spacing w:val="-6"/>
        </w:rPr>
        <w:t>（3）详细评审；</w:t>
      </w:r>
    </w:p>
    <w:p>
      <w:pPr>
        <w:snapToGrid w:val="0"/>
        <w:spacing w:line="312" w:lineRule="auto"/>
        <w:ind w:firstLine="557" w:firstLineChars="181"/>
        <w:rPr>
          <w:rFonts w:ascii="仿宋" w:hAnsi="仿宋" w:eastAsia="仿宋" w:cs="仿宋"/>
          <w:bCs/>
          <w:spacing w:val="-6"/>
        </w:rPr>
      </w:pPr>
      <w:r>
        <w:rPr>
          <w:rFonts w:hint="eastAsia" w:ascii="仿宋" w:hAnsi="仿宋" w:eastAsia="仿宋" w:cs="仿宋"/>
          <w:bCs/>
          <w:spacing w:val="-6"/>
        </w:rPr>
        <w:t>（4）响应文件的澄清；</w:t>
      </w:r>
    </w:p>
    <w:p>
      <w:pPr>
        <w:snapToGrid w:val="0"/>
        <w:spacing w:line="312" w:lineRule="auto"/>
        <w:ind w:firstLine="557" w:firstLineChars="181"/>
        <w:rPr>
          <w:rFonts w:ascii="仿宋" w:hAnsi="仿宋" w:eastAsia="仿宋" w:cs="仿宋"/>
          <w:bCs/>
          <w:spacing w:val="-6"/>
        </w:rPr>
      </w:pPr>
      <w:r>
        <w:rPr>
          <w:rFonts w:hint="eastAsia" w:ascii="仿宋" w:hAnsi="仿宋" w:eastAsia="仿宋" w:cs="仿宋"/>
          <w:bCs/>
          <w:spacing w:val="-6"/>
        </w:rPr>
        <w:t>（5）综合评分；</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（6）财务评审；</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（7）推荐中选候选人；</w:t>
      </w:r>
    </w:p>
    <w:p>
      <w:pPr>
        <w:snapToGrid w:val="0"/>
        <w:spacing w:line="312" w:lineRule="auto"/>
        <w:ind w:firstLine="557" w:firstLineChars="181"/>
        <w:rPr>
          <w:rFonts w:ascii="仿宋" w:hAnsi="仿宋" w:eastAsia="仿宋" w:cs="仿宋"/>
          <w:bCs/>
          <w:spacing w:val="-6"/>
        </w:rPr>
      </w:pPr>
      <w:r>
        <w:rPr>
          <w:rFonts w:hint="eastAsia" w:ascii="仿宋" w:hAnsi="仿宋" w:eastAsia="仿宋" w:cs="仿宋"/>
          <w:bCs/>
          <w:spacing w:val="-6"/>
        </w:rPr>
        <w:t>（8）编写评审报告。</w:t>
      </w:r>
    </w:p>
    <w:p>
      <w:pPr>
        <w:snapToGrid w:val="0"/>
        <w:spacing w:line="312" w:lineRule="auto"/>
        <w:rPr>
          <w:rFonts w:ascii="仿宋" w:hAnsi="仿宋" w:eastAsia="仿宋" w:cs="仿宋"/>
          <w:b/>
        </w:rPr>
      </w:pPr>
      <w:r>
        <w:rPr>
          <w:rFonts w:hint="eastAsia" w:ascii="仿宋" w:hAnsi="仿宋" w:eastAsia="仿宋" w:cs="仿宋"/>
          <w:b/>
        </w:rPr>
        <w:t>4、初步评审</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评审小组将对响应文件进行初步评审。只有通过初步评审的响应文件才能进入下一阶段评审。通过初步评审的主要条件：</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（1）响应文件按照询比文件规定的格式、内容、要求编制装订，字迹清晰可辨；</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（2）响应文件按询比文件规定加盖竞标人公章并由法定代表人或其授权代理人签署姓名，未使用签名章代替；</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（3）服务期满足询比文件要求；</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（4）按照询比文件规定的格式提供了法定代表人身份证明、授权书（如有）；</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（5）竞标人未以他人名义投标、未与他人串通投标、未以行贿手段谋取中选，以及未弄虚作假；</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（6）响应文件未附有采购人不能接受的其它条件。</w:t>
      </w:r>
    </w:p>
    <w:p>
      <w:pPr>
        <w:snapToGrid w:val="0"/>
        <w:spacing w:line="312" w:lineRule="auto"/>
        <w:ind w:firstLine="616" w:firstLineChars="200"/>
        <w:rPr>
          <w:rFonts w:ascii="仿宋" w:hAnsi="仿宋" w:eastAsia="仿宋" w:cs="仿宋"/>
          <w:bCs/>
          <w:spacing w:val="-6"/>
        </w:rPr>
      </w:pPr>
      <w:r>
        <w:rPr>
          <w:rFonts w:hint="eastAsia" w:ascii="仿宋" w:hAnsi="仿宋" w:eastAsia="仿宋" w:cs="仿宋"/>
          <w:bCs/>
          <w:spacing w:val="-6"/>
        </w:rPr>
        <w:t>响应文件不符合以上条件之一的，属于重大偏差，作为废标处理。</w:t>
      </w:r>
    </w:p>
    <w:p>
      <w:pPr>
        <w:snapToGrid w:val="0"/>
        <w:spacing w:line="312" w:lineRule="auto"/>
        <w:rPr>
          <w:rFonts w:ascii="仿宋" w:hAnsi="仿宋" w:eastAsia="仿宋" w:cs="仿宋"/>
          <w:b/>
        </w:rPr>
      </w:pPr>
      <w:r>
        <w:rPr>
          <w:rFonts w:hint="eastAsia" w:ascii="仿宋" w:hAnsi="仿宋" w:eastAsia="仿宋" w:cs="仿宋"/>
          <w:b/>
        </w:rPr>
        <w:t>5、资格审查</w:t>
      </w:r>
    </w:p>
    <w:p>
      <w:pPr>
        <w:snapToGrid w:val="0"/>
        <w:spacing w:line="312" w:lineRule="auto"/>
        <w:ind w:firstLine="640" w:firstLineChars="200"/>
        <w:rPr>
          <w:rFonts w:ascii="仿宋" w:hAnsi="仿宋" w:eastAsia="仿宋" w:cs="仿宋"/>
        </w:rPr>
      </w:pPr>
      <w:r>
        <w:rPr>
          <w:rFonts w:hint="eastAsia" w:ascii="仿宋" w:hAnsi="仿宋" w:eastAsia="仿宋" w:cs="仿宋"/>
        </w:rPr>
        <w:t>评审小组根据询比文件资格审查要求，对竞标人的资质、业绩、人员、履约情况等进行评审，判定其是否满足资格审查要求。</w:t>
      </w:r>
    </w:p>
    <w:p>
      <w:pPr>
        <w:snapToGrid w:val="0"/>
        <w:spacing w:line="312" w:lineRule="auto"/>
        <w:ind w:firstLine="640" w:firstLineChars="200"/>
        <w:rPr>
          <w:rFonts w:ascii="仿宋" w:hAnsi="仿宋" w:eastAsia="仿宋" w:cs="仿宋"/>
          <w:bCs/>
          <w:spacing w:val="-6"/>
        </w:rPr>
      </w:pPr>
      <w:r>
        <w:rPr>
          <w:rFonts w:hint="eastAsia" w:ascii="仿宋" w:hAnsi="仿宋" w:eastAsia="仿宋" w:cs="仿宋"/>
        </w:rPr>
        <w:t>响应文件任一项条件不满足询比文件资格审查要求的，作废标处理。</w:t>
      </w:r>
    </w:p>
    <w:p>
      <w:pPr>
        <w:snapToGrid w:val="0"/>
        <w:spacing w:line="312" w:lineRule="auto"/>
        <w:rPr>
          <w:rFonts w:ascii="仿宋" w:hAnsi="仿宋" w:eastAsia="仿宋" w:cs="仿宋"/>
          <w:b/>
        </w:rPr>
      </w:pPr>
      <w:r>
        <w:rPr>
          <w:rFonts w:hint="eastAsia" w:ascii="仿宋" w:hAnsi="仿宋" w:eastAsia="仿宋" w:cs="仿宋"/>
          <w:b/>
        </w:rPr>
        <w:t>6、详细评审</w:t>
      </w:r>
    </w:p>
    <w:p>
      <w:pPr>
        <w:snapToGrid w:val="0"/>
        <w:spacing w:line="312" w:lineRule="auto"/>
        <w:ind w:firstLine="640" w:firstLineChars="200"/>
        <w:rPr>
          <w:rFonts w:ascii="仿宋" w:hAnsi="仿宋" w:eastAsia="仿宋" w:cs="仿宋"/>
        </w:rPr>
      </w:pPr>
      <w:r>
        <w:rPr>
          <w:rFonts w:hint="eastAsia" w:ascii="仿宋" w:hAnsi="仿宋" w:eastAsia="仿宋" w:cs="仿宋"/>
        </w:rPr>
        <w:t>评审小组对通过初步评审、资格审查的响应文件从服务方案、管理水平以及竞标人以往业绩及履约信誉等方面进行详细评审，</w:t>
      </w:r>
      <w:r>
        <w:rPr>
          <w:rFonts w:hint="eastAsia" w:ascii="仿宋" w:hAnsi="仿宋" w:eastAsia="仿宋" w:cs="仿宋"/>
          <w:spacing w:val="-6"/>
        </w:rPr>
        <w:t>并对商务文件和技术文件分别评审打分，满分40分；</w:t>
      </w:r>
      <w:r>
        <w:rPr>
          <w:rFonts w:hint="eastAsia" w:ascii="仿宋" w:hAnsi="仿宋" w:eastAsia="仿宋" w:cs="仿宋"/>
          <w:b/>
          <w:spacing w:val="-6"/>
        </w:rPr>
        <w:t>技术和商务标</w:t>
      </w:r>
      <w:r>
        <w:rPr>
          <w:rFonts w:hint="eastAsia" w:ascii="仿宋" w:hAnsi="仿宋" w:eastAsia="仿宋" w:cs="仿宋"/>
          <w:b/>
        </w:rPr>
        <w:t>评分因素</w:t>
      </w:r>
      <w:r>
        <w:rPr>
          <w:rFonts w:hint="eastAsia" w:ascii="仿宋" w:hAnsi="仿宋" w:eastAsia="仿宋" w:cs="仿宋"/>
          <w:b/>
          <w:bCs/>
        </w:rPr>
        <w:t>得分应以评审小组各成员的打分平均值确定。</w:t>
      </w:r>
      <w:r>
        <w:rPr>
          <w:rFonts w:hint="eastAsia" w:ascii="仿宋" w:hAnsi="仿宋" w:eastAsia="仿宋" w:cs="仿宋"/>
        </w:rPr>
        <w:t>评分分值计算保留小数点后两位，小数点后第三位“四舍五入”。</w:t>
      </w:r>
    </w:p>
    <w:tbl>
      <w:tblPr>
        <w:tblStyle w:val="26"/>
        <w:tblpPr w:leftFromText="180" w:rightFromText="180" w:vertAnchor="text" w:horzAnchor="page" w:tblpX="911" w:tblpY="544"/>
        <w:tblOverlap w:val="never"/>
        <w:tblW w:w="989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82"/>
        <w:gridCol w:w="2514"/>
        <w:gridCol w:w="1236"/>
        <w:gridCol w:w="4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1582" w:type="dxa"/>
            <w:vAlign w:val="center"/>
          </w:tcPr>
          <w:p>
            <w:pPr>
              <w:jc w:val="center"/>
              <w:rPr>
                <w:rFonts w:ascii="仿宋" w:hAnsi="仿宋" w:eastAsia="仿宋" w:cs="仿宋"/>
                <w:sz w:val="24"/>
                <w:szCs w:val="24"/>
              </w:rPr>
            </w:pPr>
            <w:r>
              <w:rPr>
                <w:rFonts w:hint="eastAsia" w:ascii="仿宋" w:hAnsi="仿宋" w:eastAsia="仿宋" w:cs="仿宋"/>
                <w:sz w:val="24"/>
                <w:szCs w:val="24"/>
              </w:rPr>
              <w:t>评分因素</w:t>
            </w:r>
          </w:p>
        </w:tc>
        <w:tc>
          <w:tcPr>
            <w:tcW w:w="2514" w:type="dxa"/>
            <w:vAlign w:val="center"/>
          </w:tcPr>
          <w:p>
            <w:pPr>
              <w:jc w:val="center"/>
              <w:rPr>
                <w:rFonts w:ascii="仿宋" w:hAnsi="仿宋" w:eastAsia="仿宋" w:cs="仿宋"/>
                <w:sz w:val="24"/>
                <w:szCs w:val="24"/>
              </w:rPr>
            </w:pPr>
            <w:r>
              <w:rPr>
                <w:rFonts w:hint="eastAsia" w:ascii="仿宋" w:hAnsi="仿宋" w:eastAsia="仿宋" w:cs="仿宋"/>
                <w:sz w:val="24"/>
                <w:szCs w:val="24"/>
              </w:rPr>
              <w:t>评分因素</w:t>
            </w:r>
          </w:p>
        </w:tc>
        <w:tc>
          <w:tcPr>
            <w:tcW w:w="1236" w:type="dxa"/>
            <w:vAlign w:val="center"/>
          </w:tcPr>
          <w:p>
            <w:pPr>
              <w:rPr>
                <w:rFonts w:ascii="仿宋" w:hAnsi="仿宋" w:eastAsia="仿宋" w:cs="仿宋"/>
                <w:sz w:val="24"/>
                <w:szCs w:val="24"/>
              </w:rPr>
            </w:pPr>
            <w:r>
              <w:rPr>
                <w:rFonts w:hint="eastAsia" w:ascii="仿宋" w:hAnsi="仿宋" w:eastAsia="仿宋" w:cs="仿宋"/>
                <w:sz w:val="24"/>
                <w:szCs w:val="24"/>
              </w:rPr>
              <w:t>权重分值</w:t>
            </w:r>
          </w:p>
        </w:tc>
        <w:tc>
          <w:tcPr>
            <w:tcW w:w="4560" w:type="dxa"/>
            <w:vAlign w:val="center"/>
          </w:tcPr>
          <w:p>
            <w:pPr>
              <w:jc w:val="center"/>
              <w:rPr>
                <w:rFonts w:ascii="仿宋" w:hAnsi="仿宋" w:eastAsia="仿宋" w:cs="仿宋"/>
                <w:sz w:val="24"/>
                <w:szCs w:val="24"/>
              </w:rPr>
            </w:pPr>
            <w:r>
              <w:rPr>
                <w:rFonts w:hint="eastAsia" w:ascii="仿宋" w:hAnsi="仿宋" w:eastAsia="仿宋" w:cs="仿宋"/>
                <w:sz w:val="24"/>
                <w:szCs w:val="24"/>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trPr>
        <w:tc>
          <w:tcPr>
            <w:tcW w:w="1582" w:type="dxa"/>
            <w:vMerge w:val="restart"/>
            <w:vAlign w:val="center"/>
          </w:tcPr>
          <w:p>
            <w:pPr>
              <w:spacing w:line="380" w:lineRule="exact"/>
              <w:jc w:val="center"/>
              <w:rPr>
                <w:rFonts w:ascii="仿宋" w:hAnsi="仿宋" w:eastAsia="仿宋" w:cs="仿宋"/>
                <w:sz w:val="24"/>
                <w:szCs w:val="24"/>
              </w:rPr>
            </w:pPr>
            <w:r>
              <w:rPr>
                <w:rFonts w:hint="eastAsia" w:ascii="仿宋" w:hAnsi="仿宋" w:eastAsia="仿宋" w:cs="仿宋"/>
                <w:sz w:val="24"/>
                <w:szCs w:val="24"/>
              </w:rPr>
              <w:t>技术评分、商务评分</w:t>
            </w:r>
          </w:p>
        </w:tc>
        <w:tc>
          <w:tcPr>
            <w:tcW w:w="2514" w:type="dxa"/>
            <w:vAlign w:val="center"/>
          </w:tcPr>
          <w:p>
            <w:pPr>
              <w:spacing w:line="380" w:lineRule="exact"/>
              <w:jc w:val="center"/>
              <w:rPr>
                <w:rFonts w:ascii="仿宋" w:hAnsi="仿宋" w:eastAsia="仿宋" w:cs="仿宋"/>
                <w:sz w:val="24"/>
                <w:szCs w:val="24"/>
              </w:rPr>
            </w:pPr>
            <w:r>
              <w:rPr>
                <w:rFonts w:hint="eastAsia" w:ascii="宋体" w:hAnsi="宋体" w:eastAsia="仿宋" w:cs="宋体"/>
                <w:kern w:val="0"/>
                <w:sz w:val="24"/>
                <w:szCs w:val="24"/>
              </w:rPr>
              <w:t>配套跟踪服务方案</w:t>
            </w:r>
          </w:p>
        </w:tc>
        <w:tc>
          <w:tcPr>
            <w:tcW w:w="1236" w:type="dxa"/>
            <w:vAlign w:val="center"/>
          </w:tcPr>
          <w:p>
            <w:pPr>
              <w:spacing w:line="400" w:lineRule="atLeast"/>
              <w:ind w:left="-79" w:right="-119"/>
              <w:jc w:val="center"/>
              <w:rPr>
                <w:rFonts w:ascii="仿宋" w:hAnsi="仿宋" w:eastAsia="仿宋" w:cs="仿宋"/>
                <w:sz w:val="24"/>
                <w:szCs w:val="24"/>
              </w:rPr>
            </w:pPr>
            <w:r>
              <w:rPr>
                <w:rFonts w:hint="eastAsia" w:ascii="宋体" w:hAnsi="宋体"/>
                <w:sz w:val="24"/>
                <w:szCs w:val="24"/>
              </w:rPr>
              <w:t>15分</w:t>
            </w:r>
          </w:p>
        </w:tc>
        <w:tc>
          <w:tcPr>
            <w:tcW w:w="4560" w:type="dxa"/>
            <w:vAlign w:val="center"/>
          </w:tcPr>
          <w:p>
            <w:pPr>
              <w:spacing w:line="380" w:lineRule="exact"/>
              <w:rPr>
                <w:rFonts w:ascii="宋体" w:hAnsi="宋体" w:cs="宋体"/>
                <w:kern w:val="0"/>
                <w:sz w:val="24"/>
                <w:szCs w:val="24"/>
              </w:rPr>
            </w:pPr>
            <w:r>
              <w:rPr>
                <w:rFonts w:hint="eastAsia" w:ascii="宋体" w:hAnsi="宋体" w:cs="宋体"/>
                <w:kern w:val="0"/>
                <w:sz w:val="24"/>
                <w:szCs w:val="24"/>
              </w:rPr>
              <w:t>满足采购文件最低要求的，基本分9分，根据对使用期间的配套跟踪服务措施保障有力、灭四害方案的合理性、可操作性、药剂和辅材的使用情况、消杀次数等酌情加0～6分，满分15分；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trPr>
        <w:tc>
          <w:tcPr>
            <w:tcW w:w="1582" w:type="dxa"/>
            <w:vMerge w:val="continue"/>
            <w:vAlign w:val="center"/>
          </w:tcPr>
          <w:p>
            <w:pPr>
              <w:spacing w:line="380" w:lineRule="exact"/>
              <w:rPr>
                <w:rFonts w:ascii="宋体" w:hAnsi="宋体" w:cs="宋体"/>
                <w:kern w:val="0"/>
                <w:sz w:val="24"/>
                <w:szCs w:val="24"/>
              </w:rPr>
            </w:pPr>
          </w:p>
        </w:tc>
        <w:tc>
          <w:tcPr>
            <w:tcW w:w="2514" w:type="dxa"/>
            <w:vAlign w:val="center"/>
          </w:tcPr>
          <w:p>
            <w:pPr>
              <w:spacing w:line="380" w:lineRule="exact"/>
              <w:ind w:firstLine="720" w:firstLineChars="300"/>
              <w:rPr>
                <w:rFonts w:ascii="宋体" w:hAnsi="宋体" w:cs="宋体"/>
                <w:kern w:val="0"/>
                <w:sz w:val="24"/>
                <w:szCs w:val="24"/>
              </w:rPr>
            </w:pPr>
            <w:r>
              <w:rPr>
                <w:rFonts w:hint="eastAsia" w:ascii="宋体" w:hAnsi="宋体" w:cs="宋体"/>
                <w:kern w:val="0"/>
                <w:sz w:val="24"/>
                <w:szCs w:val="24"/>
              </w:rPr>
              <w:t>业绩</w:t>
            </w:r>
          </w:p>
        </w:tc>
        <w:tc>
          <w:tcPr>
            <w:tcW w:w="1236" w:type="dxa"/>
            <w:vAlign w:val="center"/>
          </w:tcPr>
          <w:p>
            <w:pPr>
              <w:spacing w:line="380" w:lineRule="exact"/>
              <w:ind w:firstLine="240" w:firstLineChars="100"/>
              <w:rPr>
                <w:rFonts w:ascii="宋体" w:hAnsi="宋体" w:cs="宋体"/>
                <w:kern w:val="0"/>
                <w:sz w:val="24"/>
                <w:szCs w:val="24"/>
              </w:rPr>
            </w:pPr>
            <w:r>
              <w:rPr>
                <w:rFonts w:hint="eastAsia" w:ascii="宋体" w:hAnsi="宋体" w:cs="宋体"/>
                <w:kern w:val="0"/>
                <w:sz w:val="24"/>
                <w:szCs w:val="24"/>
              </w:rPr>
              <w:t>25分</w:t>
            </w:r>
          </w:p>
        </w:tc>
        <w:tc>
          <w:tcPr>
            <w:tcW w:w="4560" w:type="dxa"/>
            <w:vAlign w:val="center"/>
          </w:tcPr>
          <w:p>
            <w:pPr>
              <w:spacing w:line="380" w:lineRule="exact"/>
              <w:rPr>
                <w:rFonts w:ascii="宋体" w:hAnsi="宋体" w:cs="宋体"/>
                <w:kern w:val="0"/>
                <w:sz w:val="24"/>
                <w:szCs w:val="24"/>
              </w:rPr>
            </w:pPr>
            <w:r>
              <w:rPr>
                <w:rFonts w:hint="eastAsia" w:ascii="宋体" w:hAnsi="宋体" w:cs="宋体"/>
                <w:kern w:val="0"/>
                <w:sz w:val="24"/>
                <w:szCs w:val="24"/>
              </w:rPr>
              <w:t>1．竞标人满足资格审查要求的（竞标人业绩最低要求），得基本分15分；</w:t>
            </w:r>
          </w:p>
          <w:p>
            <w:pPr>
              <w:spacing w:line="380" w:lineRule="exact"/>
              <w:rPr>
                <w:rFonts w:ascii="宋体" w:hAnsi="宋体" w:cs="宋体"/>
                <w:kern w:val="0"/>
                <w:sz w:val="24"/>
                <w:szCs w:val="24"/>
              </w:rPr>
            </w:pPr>
            <w:r>
              <w:rPr>
                <w:rFonts w:hint="eastAsia" w:ascii="宋体" w:hAnsi="宋体" w:cs="宋体"/>
                <w:kern w:val="0"/>
                <w:sz w:val="24"/>
                <w:szCs w:val="24"/>
              </w:rPr>
              <w:t>2. 2016年1月1日至今每增加1个四害消杀面积不低于3000平方米，且工作场所须包含餐饮或商超或酒店的相关灭四害服务项目的加2.5分，最多加10分，本项满分25分。</w:t>
            </w:r>
          </w:p>
        </w:tc>
      </w:tr>
    </w:tbl>
    <w:p>
      <w:pPr>
        <w:spacing w:line="312" w:lineRule="auto"/>
        <w:rPr>
          <w:rFonts w:ascii="仿宋" w:hAnsi="仿宋" w:eastAsia="仿宋" w:cs="仿宋"/>
          <w:b/>
          <w:bCs/>
        </w:rPr>
      </w:pPr>
      <w:r>
        <w:rPr>
          <w:rFonts w:hint="eastAsia" w:ascii="仿宋" w:hAnsi="仿宋" w:eastAsia="仿宋" w:cs="仿宋"/>
          <w:b/>
          <w:bCs/>
        </w:rPr>
        <w:t>6.1 商务评审和技术评审</w:t>
      </w:r>
      <w:r>
        <w:rPr>
          <w:rFonts w:hint="eastAsia" w:ascii="仿宋" w:hAnsi="仿宋" w:eastAsia="仿宋" w:cs="仿宋"/>
        </w:rPr>
        <w:t xml:space="preserve"> 主要内容和评分标准如下：</w:t>
      </w:r>
    </w:p>
    <w:bookmarkEnd w:id="6"/>
    <w:bookmarkEnd w:id="7"/>
    <w:bookmarkEnd w:id="8"/>
    <w:bookmarkEnd w:id="9"/>
    <w:p>
      <w:pPr>
        <w:snapToGrid w:val="0"/>
        <w:spacing w:line="312" w:lineRule="auto"/>
        <w:rPr>
          <w:rFonts w:ascii="仿宋" w:hAnsi="仿宋" w:eastAsia="仿宋" w:cs="仿宋"/>
          <w:b/>
          <w:bCs/>
        </w:rPr>
      </w:pPr>
      <w:r>
        <w:rPr>
          <w:rFonts w:hint="eastAsia" w:ascii="仿宋" w:hAnsi="仿宋" w:eastAsia="仿宋" w:cs="仿宋"/>
          <w:b/>
          <w:bCs/>
        </w:rPr>
        <w:t>6.2财务评审</w:t>
      </w:r>
    </w:p>
    <w:p>
      <w:pPr>
        <w:snapToGrid w:val="0"/>
        <w:ind w:firstLine="704" w:firstLineChars="220"/>
        <w:rPr>
          <w:rFonts w:ascii="仿宋" w:hAnsi="仿宋" w:eastAsia="仿宋" w:cs="仿宋"/>
        </w:rPr>
      </w:pPr>
      <w:r>
        <w:rPr>
          <w:rFonts w:hint="eastAsia" w:ascii="仿宋" w:hAnsi="仿宋" w:eastAsia="仿宋" w:cs="仿宋"/>
        </w:rPr>
        <w:t>只有通过前述初步评审、资格审查、详细评审的竞标人才能进入财务评审。</w:t>
      </w:r>
    </w:p>
    <w:p>
      <w:pPr>
        <w:snapToGrid w:val="0"/>
        <w:spacing w:line="312" w:lineRule="auto"/>
        <w:ind w:firstLine="988" w:firstLineChars="309"/>
        <w:rPr>
          <w:rFonts w:ascii="仿宋" w:hAnsi="仿宋" w:eastAsia="仿宋" w:cs="仿宋"/>
        </w:rPr>
      </w:pPr>
      <w:r>
        <w:rPr>
          <w:rFonts w:hint="eastAsia" w:ascii="仿宋" w:hAnsi="仿宋" w:eastAsia="仿宋" w:cs="仿宋"/>
        </w:rPr>
        <w:t>6.2.1  竞标人通过响应文件初步评审的主要条件：</w:t>
      </w:r>
    </w:p>
    <w:p>
      <w:pPr>
        <w:snapToGrid w:val="0"/>
        <w:spacing w:line="312" w:lineRule="auto"/>
        <w:ind w:firstLine="720" w:firstLineChars="225"/>
        <w:rPr>
          <w:rFonts w:ascii="仿宋" w:hAnsi="仿宋" w:eastAsia="仿宋" w:cs="仿宋"/>
        </w:rPr>
      </w:pPr>
      <w:r>
        <w:rPr>
          <w:rFonts w:hint="eastAsia" w:ascii="仿宋" w:hAnsi="仿宋" w:eastAsia="仿宋" w:cs="仿宋"/>
        </w:rPr>
        <w:t>（1）响应文件按询比文件规定签字、盖章齐全，填报了投标价；</w:t>
      </w:r>
    </w:p>
    <w:p>
      <w:pPr>
        <w:snapToGrid w:val="0"/>
        <w:spacing w:line="312" w:lineRule="auto"/>
        <w:ind w:firstLine="720" w:firstLineChars="225"/>
        <w:rPr>
          <w:rFonts w:ascii="仿宋" w:hAnsi="仿宋" w:eastAsia="仿宋" w:cs="仿宋"/>
          <w:spacing w:val="-6"/>
        </w:rPr>
      </w:pPr>
      <w:r>
        <w:rPr>
          <w:rFonts w:hint="eastAsia" w:ascii="仿宋" w:hAnsi="仿宋" w:eastAsia="仿宋" w:cs="仿宋"/>
        </w:rPr>
        <w:t>（2）</w:t>
      </w:r>
      <w:r>
        <w:rPr>
          <w:rFonts w:hint="eastAsia" w:ascii="仿宋" w:hAnsi="仿宋" w:eastAsia="仿宋" w:cs="仿宋"/>
          <w:spacing w:val="-6"/>
        </w:rPr>
        <w:t>竞标人所报的咨询服务费在采购人给定的投标控制价上限以内。</w:t>
      </w:r>
    </w:p>
    <w:p>
      <w:pPr>
        <w:snapToGrid w:val="0"/>
        <w:spacing w:line="312" w:lineRule="auto"/>
        <w:ind w:firstLine="720" w:firstLineChars="225"/>
        <w:rPr>
          <w:rFonts w:ascii="仿宋" w:hAnsi="仿宋" w:eastAsia="仿宋" w:cs="仿宋"/>
        </w:rPr>
      </w:pPr>
      <w:r>
        <w:rPr>
          <w:rFonts w:hint="eastAsia" w:ascii="仿宋" w:hAnsi="仿宋" w:eastAsia="仿宋" w:cs="仿宋"/>
        </w:rPr>
        <w:t>响应文件不符合以上条件之一的，属于重大偏差，作为废标处理。</w:t>
      </w:r>
    </w:p>
    <w:p>
      <w:pPr>
        <w:snapToGrid w:val="0"/>
        <w:spacing w:line="312" w:lineRule="auto"/>
        <w:ind w:firstLine="640" w:firstLineChars="200"/>
        <w:rPr>
          <w:rFonts w:ascii="仿宋" w:hAnsi="仿宋" w:eastAsia="仿宋" w:cs="仿宋"/>
        </w:rPr>
      </w:pPr>
      <w:r>
        <w:rPr>
          <w:rFonts w:hint="eastAsia" w:ascii="仿宋" w:hAnsi="仿宋" w:eastAsia="仿宋" w:cs="仿宋"/>
        </w:rPr>
        <w:t>6.2.2  算术性修正</w:t>
      </w:r>
    </w:p>
    <w:p>
      <w:pPr>
        <w:tabs>
          <w:tab w:val="left" w:pos="3330"/>
        </w:tabs>
        <w:snapToGrid w:val="0"/>
        <w:spacing w:line="312" w:lineRule="auto"/>
        <w:ind w:firstLine="640" w:firstLineChars="200"/>
        <w:rPr>
          <w:rFonts w:ascii="仿宋" w:hAnsi="仿宋" w:eastAsia="仿宋" w:cs="仿宋"/>
        </w:rPr>
      </w:pPr>
      <w:r>
        <w:rPr>
          <w:rFonts w:hint="eastAsia" w:ascii="仿宋" w:hAnsi="仿宋" w:eastAsia="仿宋" w:cs="仿宋"/>
        </w:rPr>
        <w:t>6.2.3  计算评标基准价</w:t>
      </w:r>
      <w:r>
        <w:rPr>
          <w:rFonts w:hint="eastAsia" w:ascii="仿宋" w:hAnsi="仿宋" w:eastAsia="仿宋" w:cs="仿宋"/>
        </w:rPr>
        <w:tab/>
      </w:r>
    </w:p>
    <w:p>
      <w:pPr>
        <w:snapToGrid w:val="0"/>
        <w:spacing w:line="312" w:lineRule="auto"/>
        <w:ind w:firstLine="619" w:firstLineChars="200"/>
        <w:rPr>
          <w:rFonts w:ascii="仿宋" w:hAnsi="仿宋" w:eastAsia="仿宋" w:cs="仿宋"/>
          <w:b/>
          <w:spacing w:val="-6"/>
        </w:rPr>
      </w:pPr>
      <w:r>
        <w:rPr>
          <w:rFonts w:hint="eastAsia" w:ascii="仿宋" w:hAnsi="仿宋" w:eastAsia="仿宋" w:cs="仿宋"/>
          <w:b/>
          <w:spacing w:val="-6"/>
        </w:rPr>
        <w:t>通过响应文件初步评审、资格评审和详细评审的竞标人投标报价的最低价为评标基准价。</w:t>
      </w:r>
    </w:p>
    <w:p>
      <w:pPr>
        <w:snapToGrid w:val="0"/>
        <w:spacing w:line="312" w:lineRule="auto"/>
        <w:ind w:firstLine="672" w:firstLineChars="210"/>
        <w:rPr>
          <w:rFonts w:ascii="仿宋" w:hAnsi="仿宋" w:eastAsia="仿宋" w:cs="仿宋"/>
        </w:rPr>
      </w:pPr>
      <w:r>
        <w:rPr>
          <w:rFonts w:hint="eastAsia" w:ascii="仿宋" w:hAnsi="仿宋" w:eastAsia="仿宋" w:cs="仿宋"/>
        </w:rPr>
        <w:t>6.2.4  计算财务得分</w:t>
      </w:r>
    </w:p>
    <w:p>
      <w:pPr>
        <w:snapToGrid w:val="0"/>
        <w:spacing w:line="312" w:lineRule="auto"/>
        <w:ind w:firstLine="672" w:firstLineChars="210"/>
        <w:rPr>
          <w:rFonts w:ascii="仿宋" w:hAnsi="仿宋" w:eastAsia="仿宋" w:cs="仿宋"/>
        </w:rPr>
      </w:pPr>
      <w:r>
        <w:rPr>
          <w:rFonts w:hint="eastAsia" w:ascii="仿宋" w:hAnsi="仿宋" w:eastAsia="仿宋" w:cs="仿宋"/>
        </w:rPr>
        <w:t>计算公式示例：</w:t>
      </w:r>
    </w:p>
    <w:p>
      <w:pPr>
        <w:snapToGrid w:val="0"/>
        <w:spacing w:line="312" w:lineRule="auto"/>
        <w:ind w:firstLine="720" w:firstLineChars="225"/>
        <w:rPr>
          <w:rFonts w:ascii="仿宋" w:hAnsi="仿宋" w:eastAsia="仿宋" w:cs="仿宋"/>
          <w:color w:val="000000"/>
        </w:rPr>
      </w:pPr>
      <w:r>
        <w:rPr>
          <w:rFonts w:hint="eastAsia" w:ascii="仿宋" w:hAnsi="仿宋" w:eastAsia="仿宋" w:cs="仿宋"/>
          <w:color w:val="000000"/>
        </w:rPr>
        <w:t>（1）当竞标报价等于评审基准价时均得60分，竞标价每高于评审基准价的1%扣0.25分，最高得分为60分，最低得分为0分，内插计算。</w:t>
      </w:r>
    </w:p>
    <w:p>
      <w:pPr>
        <w:snapToGrid w:val="0"/>
        <w:spacing w:line="312" w:lineRule="auto"/>
        <w:ind w:firstLine="675" w:firstLineChars="210"/>
        <w:rPr>
          <w:rFonts w:ascii="仿宋" w:hAnsi="仿宋" w:eastAsia="仿宋" w:cs="仿宋"/>
          <w:b/>
        </w:rPr>
      </w:pPr>
      <w:r>
        <w:rPr>
          <w:rFonts w:hint="eastAsia" w:ascii="仿宋" w:hAnsi="仿宋" w:eastAsia="仿宋" w:cs="仿宋"/>
          <w:b/>
        </w:rPr>
        <w:t>7.响应文件的澄清</w:t>
      </w:r>
    </w:p>
    <w:p>
      <w:pPr>
        <w:snapToGrid w:val="0"/>
        <w:spacing w:line="312" w:lineRule="auto"/>
        <w:ind w:firstLine="480"/>
        <w:rPr>
          <w:rFonts w:ascii="仿宋" w:hAnsi="仿宋" w:eastAsia="仿宋" w:cs="仿宋"/>
        </w:rPr>
      </w:pPr>
      <w:r>
        <w:rPr>
          <w:rFonts w:hint="eastAsia" w:ascii="仿宋" w:hAnsi="仿宋" w:eastAsia="仿宋" w:cs="仿宋"/>
        </w:rPr>
        <w:t>（1）除按本办法规定的重大偏差外，响应文件存在的其它问题应视为细微偏差。为了有助于响应文件的审查、评价和比较，采购人可书面通知竞标人澄清或说明其响应文件中不明确的内容，或要求补充相应资料或对细微偏差进行补正。对此竞标人不得拒绝，否则，作废标处理，并没收竞标保证金。</w:t>
      </w:r>
    </w:p>
    <w:p>
      <w:pPr>
        <w:snapToGrid w:val="0"/>
        <w:spacing w:line="312" w:lineRule="auto"/>
        <w:ind w:firstLine="480"/>
        <w:rPr>
          <w:rFonts w:ascii="仿宋" w:hAnsi="仿宋" w:eastAsia="仿宋" w:cs="仿宋"/>
        </w:rPr>
      </w:pPr>
      <w:r>
        <w:rPr>
          <w:rFonts w:hint="eastAsia" w:ascii="仿宋" w:hAnsi="仿宋" w:eastAsia="仿宋" w:cs="仿宋"/>
        </w:rPr>
        <w:t>（2）有关澄清、说明和补正的要求和回答均以书面形式进行，但采购人和竞标人均不得因此而提出改变询比文件或响应文件实质内容的要求。竞标人的书面澄清、说明或补正属于响应文件的组成部分。</w:t>
      </w:r>
    </w:p>
    <w:p>
      <w:pPr>
        <w:snapToGrid w:val="0"/>
        <w:spacing w:line="312" w:lineRule="auto"/>
        <w:ind w:firstLine="720" w:firstLineChars="225"/>
        <w:rPr>
          <w:rFonts w:ascii="仿宋" w:hAnsi="仿宋" w:eastAsia="仿宋" w:cs="仿宋"/>
        </w:rPr>
      </w:pPr>
      <w:r>
        <w:rPr>
          <w:rFonts w:hint="eastAsia" w:ascii="仿宋" w:hAnsi="仿宋" w:eastAsia="仿宋" w:cs="仿宋"/>
        </w:rPr>
        <w:t>（3）采购人不接受竞标人对响应文件的主动澄清、说明和补正。</w:t>
      </w:r>
    </w:p>
    <w:p>
      <w:pPr>
        <w:spacing w:line="312" w:lineRule="auto"/>
        <w:ind w:firstLine="145" w:firstLineChars="47"/>
        <w:rPr>
          <w:rFonts w:ascii="仿宋" w:hAnsi="仿宋" w:eastAsia="仿宋" w:cs="仿宋"/>
          <w:b/>
          <w:bCs/>
        </w:rPr>
      </w:pPr>
      <w:r>
        <w:rPr>
          <w:rFonts w:hint="eastAsia" w:ascii="仿宋" w:hAnsi="仿宋" w:eastAsia="仿宋" w:cs="仿宋"/>
          <w:b/>
          <w:bCs/>
          <w:spacing w:val="-6"/>
        </w:rPr>
        <w:t>8．</w:t>
      </w:r>
      <w:r>
        <w:rPr>
          <w:rFonts w:hint="eastAsia" w:ascii="仿宋" w:hAnsi="仿宋" w:eastAsia="仿宋" w:cs="仿宋"/>
          <w:b/>
          <w:bCs/>
        </w:rPr>
        <w:t>串通投标情形的评审认定</w:t>
      </w:r>
    </w:p>
    <w:p>
      <w:pPr>
        <w:spacing w:line="312" w:lineRule="auto"/>
        <w:ind w:firstLine="640" w:firstLineChars="200"/>
        <w:rPr>
          <w:rFonts w:ascii="仿宋" w:hAnsi="仿宋" w:eastAsia="仿宋" w:cs="仿宋"/>
        </w:rPr>
      </w:pPr>
      <w:r>
        <w:rPr>
          <w:rFonts w:hint="eastAsia" w:ascii="仿宋" w:hAnsi="仿宋" w:eastAsia="仿宋" w:cs="仿宋"/>
        </w:rPr>
        <w:t>评审小组应对在评标过程中发现的竞标人与竞标人之间、竞标人与采购人之间存在的串通投标的情形进行评审和认定。竞标人存在串通投标、弄虚作假、行贿等违法行为的，评审小组应否决其投标。</w:t>
      </w:r>
    </w:p>
    <w:p>
      <w:pPr>
        <w:spacing w:line="312" w:lineRule="auto"/>
        <w:ind w:firstLine="640" w:firstLineChars="200"/>
        <w:rPr>
          <w:rFonts w:ascii="仿宋" w:hAnsi="仿宋" w:eastAsia="仿宋" w:cs="仿宋"/>
        </w:rPr>
      </w:pPr>
      <w:r>
        <w:rPr>
          <w:rFonts w:hint="eastAsia" w:ascii="仿宋" w:hAnsi="仿宋" w:eastAsia="仿宋" w:cs="仿宋"/>
        </w:rPr>
        <w:t>(1)有下列情形之一的，属于竞标人相互串通投标：</w:t>
      </w:r>
    </w:p>
    <w:p>
      <w:pPr>
        <w:spacing w:line="312" w:lineRule="auto"/>
        <w:ind w:firstLine="640" w:firstLineChars="200"/>
        <w:rPr>
          <w:rFonts w:ascii="仿宋" w:hAnsi="仿宋" w:eastAsia="仿宋" w:cs="仿宋"/>
        </w:rPr>
      </w:pPr>
      <w:r>
        <w:rPr>
          <w:rFonts w:hint="eastAsia" w:ascii="仿宋" w:hAnsi="仿宋" w:eastAsia="仿宋" w:cs="仿宋"/>
        </w:rPr>
        <w:t>a.竞标人之间协商投标报价等响应文件的实质性内容；</w:t>
      </w:r>
    </w:p>
    <w:p>
      <w:pPr>
        <w:spacing w:line="312" w:lineRule="auto"/>
        <w:ind w:firstLine="640" w:firstLineChars="200"/>
        <w:rPr>
          <w:rFonts w:ascii="仿宋" w:hAnsi="仿宋" w:eastAsia="仿宋" w:cs="仿宋"/>
        </w:rPr>
      </w:pPr>
      <w:r>
        <w:rPr>
          <w:rFonts w:hint="eastAsia" w:ascii="仿宋" w:hAnsi="仿宋" w:eastAsia="仿宋" w:cs="仿宋"/>
        </w:rPr>
        <w:t>b.竞标人之间约定中选人；</w:t>
      </w:r>
    </w:p>
    <w:p>
      <w:pPr>
        <w:spacing w:line="312" w:lineRule="auto"/>
        <w:ind w:firstLine="640" w:firstLineChars="200"/>
        <w:rPr>
          <w:rFonts w:ascii="仿宋" w:hAnsi="仿宋" w:eastAsia="仿宋" w:cs="仿宋"/>
        </w:rPr>
      </w:pPr>
      <w:r>
        <w:rPr>
          <w:rFonts w:hint="eastAsia" w:ascii="仿宋" w:hAnsi="仿宋" w:eastAsia="仿宋" w:cs="仿宋"/>
        </w:rPr>
        <w:t>c.竞标人之间约定部分竞标人放弃投标或者中选；</w:t>
      </w:r>
    </w:p>
    <w:p>
      <w:pPr>
        <w:spacing w:line="312" w:lineRule="auto"/>
        <w:ind w:firstLine="640" w:firstLineChars="200"/>
        <w:rPr>
          <w:rFonts w:ascii="仿宋" w:hAnsi="仿宋" w:eastAsia="仿宋" w:cs="仿宋"/>
        </w:rPr>
      </w:pPr>
      <w:r>
        <w:rPr>
          <w:rFonts w:hint="eastAsia" w:ascii="仿宋" w:hAnsi="仿宋" w:eastAsia="仿宋" w:cs="仿宋"/>
        </w:rPr>
        <w:t>d.属于同一集团、协会、商会等组织成员的竞标人按照该组织要求协同投标；</w:t>
      </w:r>
    </w:p>
    <w:p>
      <w:pPr>
        <w:spacing w:line="312" w:lineRule="auto"/>
        <w:ind w:firstLine="640" w:firstLineChars="200"/>
        <w:rPr>
          <w:rFonts w:ascii="仿宋" w:hAnsi="仿宋" w:eastAsia="仿宋" w:cs="仿宋"/>
        </w:rPr>
      </w:pPr>
      <w:r>
        <w:rPr>
          <w:rFonts w:hint="eastAsia" w:ascii="仿宋" w:hAnsi="仿宋" w:eastAsia="仿宋" w:cs="仿宋"/>
        </w:rPr>
        <w:t>e.竞标人之间为谋取中选或者排斥特定竞标人而采取的其他联合行动。</w:t>
      </w:r>
    </w:p>
    <w:p>
      <w:pPr>
        <w:spacing w:line="312" w:lineRule="auto"/>
        <w:ind w:firstLine="640" w:firstLineChars="200"/>
        <w:rPr>
          <w:rFonts w:ascii="仿宋" w:hAnsi="仿宋" w:eastAsia="仿宋" w:cs="仿宋"/>
        </w:rPr>
      </w:pPr>
      <w:r>
        <w:rPr>
          <w:rFonts w:hint="eastAsia" w:ascii="仿宋" w:hAnsi="仿宋" w:eastAsia="仿宋" w:cs="仿宋"/>
        </w:rPr>
        <w:t>(2)有下列情形之一的，视为竞标人相互串通投标：</w:t>
      </w:r>
    </w:p>
    <w:p>
      <w:pPr>
        <w:spacing w:line="312" w:lineRule="auto"/>
        <w:ind w:firstLine="640" w:firstLineChars="200"/>
        <w:rPr>
          <w:rFonts w:ascii="仿宋" w:hAnsi="仿宋" w:eastAsia="仿宋" w:cs="仿宋"/>
        </w:rPr>
      </w:pPr>
      <w:r>
        <w:rPr>
          <w:rFonts w:hint="eastAsia" w:ascii="仿宋" w:hAnsi="仿宋" w:eastAsia="仿宋" w:cs="仿宋"/>
        </w:rPr>
        <w:t>a.不同竞标人的响应文件由同一单位或者个人编制；</w:t>
      </w:r>
    </w:p>
    <w:p>
      <w:pPr>
        <w:spacing w:line="312" w:lineRule="auto"/>
        <w:ind w:firstLine="640" w:firstLineChars="200"/>
        <w:rPr>
          <w:rFonts w:ascii="仿宋" w:hAnsi="仿宋" w:eastAsia="仿宋" w:cs="仿宋"/>
        </w:rPr>
      </w:pPr>
      <w:r>
        <w:rPr>
          <w:rFonts w:hint="eastAsia" w:ascii="仿宋" w:hAnsi="仿宋" w:eastAsia="仿宋" w:cs="仿宋"/>
        </w:rPr>
        <w:t>b.不同竞标人委托同一单位或者个人办理投标事宜；</w:t>
      </w:r>
    </w:p>
    <w:p>
      <w:pPr>
        <w:spacing w:line="312" w:lineRule="auto"/>
        <w:ind w:firstLine="640" w:firstLineChars="200"/>
        <w:rPr>
          <w:rFonts w:ascii="仿宋" w:hAnsi="仿宋" w:eastAsia="仿宋" w:cs="仿宋"/>
        </w:rPr>
      </w:pPr>
      <w:r>
        <w:rPr>
          <w:rFonts w:hint="eastAsia" w:ascii="仿宋" w:hAnsi="仿宋" w:eastAsia="仿宋" w:cs="仿宋"/>
        </w:rPr>
        <w:t>c.不同竞标人的响应文件载明的项目管理成员为同一人；</w:t>
      </w:r>
    </w:p>
    <w:p>
      <w:pPr>
        <w:spacing w:line="312" w:lineRule="auto"/>
        <w:ind w:firstLine="640" w:firstLineChars="200"/>
        <w:rPr>
          <w:rFonts w:ascii="仿宋" w:hAnsi="仿宋" w:eastAsia="仿宋" w:cs="仿宋"/>
        </w:rPr>
      </w:pPr>
      <w:r>
        <w:rPr>
          <w:rFonts w:hint="eastAsia" w:ascii="仿宋" w:hAnsi="仿宋" w:eastAsia="仿宋" w:cs="仿宋"/>
        </w:rPr>
        <w:t>d.不同竞标人的响应文件异常一致或者投标报价呈规律性差异；</w:t>
      </w:r>
    </w:p>
    <w:p>
      <w:pPr>
        <w:spacing w:line="312" w:lineRule="auto"/>
        <w:ind w:firstLine="640" w:firstLineChars="200"/>
        <w:rPr>
          <w:rFonts w:ascii="仿宋" w:hAnsi="仿宋" w:eastAsia="仿宋" w:cs="仿宋"/>
        </w:rPr>
      </w:pPr>
      <w:r>
        <w:rPr>
          <w:rFonts w:hint="eastAsia" w:ascii="仿宋" w:hAnsi="仿宋" w:eastAsia="仿宋" w:cs="仿宋"/>
        </w:rPr>
        <w:t>e.不同竞标人的响应文件相互混装；</w:t>
      </w:r>
    </w:p>
    <w:p>
      <w:pPr>
        <w:spacing w:line="312" w:lineRule="auto"/>
        <w:ind w:firstLine="640" w:firstLineChars="200"/>
        <w:rPr>
          <w:rFonts w:ascii="仿宋" w:hAnsi="仿宋" w:eastAsia="仿宋" w:cs="仿宋"/>
        </w:rPr>
      </w:pPr>
      <w:r>
        <w:rPr>
          <w:rFonts w:hint="eastAsia" w:ascii="仿宋" w:hAnsi="仿宋" w:eastAsia="仿宋" w:cs="仿宋"/>
        </w:rPr>
        <w:t>f.不同竞标人的竞标保证金从同一单位或者个人的账户转出。</w:t>
      </w:r>
    </w:p>
    <w:p>
      <w:pPr>
        <w:spacing w:line="312" w:lineRule="auto"/>
        <w:ind w:firstLine="640" w:firstLineChars="200"/>
        <w:rPr>
          <w:rFonts w:ascii="仿宋" w:hAnsi="仿宋" w:eastAsia="仿宋" w:cs="仿宋"/>
        </w:rPr>
      </w:pPr>
      <w:r>
        <w:rPr>
          <w:rFonts w:hint="eastAsia" w:ascii="仿宋" w:hAnsi="仿宋" w:eastAsia="仿宋" w:cs="仿宋"/>
        </w:rPr>
        <w:t>(3)有下列情形之一的，属于采购人与竞标人串通投标：</w:t>
      </w:r>
    </w:p>
    <w:p>
      <w:pPr>
        <w:spacing w:line="312" w:lineRule="auto"/>
        <w:ind w:firstLine="640" w:firstLineChars="200"/>
        <w:rPr>
          <w:rFonts w:ascii="仿宋" w:hAnsi="仿宋" w:eastAsia="仿宋" w:cs="仿宋"/>
        </w:rPr>
      </w:pPr>
      <w:r>
        <w:rPr>
          <w:rFonts w:hint="eastAsia" w:ascii="仿宋" w:hAnsi="仿宋" w:eastAsia="仿宋" w:cs="仿宋"/>
        </w:rPr>
        <w:t>a.采购人在开标前开启响应文件并将有关信息泄露给其他竞标人;</w:t>
      </w:r>
    </w:p>
    <w:p>
      <w:pPr>
        <w:spacing w:line="312" w:lineRule="auto"/>
        <w:ind w:firstLine="640" w:firstLineChars="200"/>
        <w:rPr>
          <w:rFonts w:ascii="仿宋" w:hAnsi="仿宋" w:eastAsia="仿宋" w:cs="仿宋"/>
        </w:rPr>
      </w:pPr>
      <w:r>
        <w:rPr>
          <w:rFonts w:hint="eastAsia" w:ascii="仿宋" w:hAnsi="仿宋" w:eastAsia="仿宋" w:cs="仿宋"/>
        </w:rPr>
        <w:t>b.采购人直接或者间接向竞标人泄露标底、评审小组成员等信息；</w:t>
      </w:r>
    </w:p>
    <w:p>
      <w:pPr>
        <w:spacing w:line="312" w:lineRule="auto"/>
        <w:ind w:firstLine="640" w:firstLineChars="200"/>
        <w:rPr>
          <w:rFonts w:ascii="仿宋" w:hAnsi="仿宋" w:eastAsia="仿宋" w:cs="仿宋"/>
        </w:rPr>
      </w:pPr>
      <w:r>
        <w:rPr>
          <w:rFonts w:hint="eastAsia" w:ascii="仿宋" w:hAnsi="仿宋" w:eastAsia="仿宋" w:cs="仿宋"/>
        </w:rPr>
        <w:t>c.采购人明示或者暗示竞标人压低或者抬高投标报价；</w:t>
      </w:r>
    </w:p>
    <w:p>
      <w:pPr>
        <w:spacing w:line="312" w:lineRule="auto"/>
        <w:ind w:firstLine="640" w:firstLineChars="200"/>
        <w:rPr>
          <w:rFonts w:ascii="仿宋" w:hAnsi="仿宋" w:eastAsia="仿宋" w:cs="仿宋"/>
        </w:rPr>
      </w:pPr>
      <w:r>
        <w:rPr>
          <w:rFonts w:hint="eastAsia" w:ascii="仿宋" w:hAnsi="仿宋" w:eastAsia="仿宋" w:cs="仿宋"/>
        </w:rPr>
        <w:t>d.采购人授意竞标人撤换、修改响应文件；</w:t>
      </w:r>
    </w:p>
    <w:p>
      <w:pPr>
        <w:spacing w:line="312" w:lineRule="auto"/>
        <w:ind w:firstLine="640" w:firstLineChars="200"/>
        <w:rPr>
          <w:rFonts w:ascii="仿宋" w:hAnsi="仿宋" w:eastAsia="仿宋" w:cs="仿宋"/>
        </w:rPr>
      </w:pPr>
      <w:r>
        <w:rPr>
          <w:rFonts w:hint="eastAsia" w:ascii="仿宋" w:hAnsi="仿宋" w:eastAsia="仿宋" w:cs="仿宋"/>
        </w:rPr>
        <w:t>e.采购人明示或者暗示竞标人为特定竞标人中选提供方便；</w:t>
      </w:r>
    </w:p>
    <w:p>
      <w:pPr>
        <w:spacing w:line="312" w:lineRule="auto"/>
        <w:ind w:firstLine="640" w:firstLineChars="200"/>
        <w:rPr>
          <w:rFonts w:ascii="仿宋" w:hAnsi="仿宋" w:eastAsia="仿宋" w:cs="仿宋"/>
        </w:rPr>
      </w:pPr>
      <w:r>
        <w:rPr>
          <w:rFonts w:hint="eastAsia" w:ascii="仿宋" w:hAnsi="仿宋" w:eastAsia="仿宋" w:cs="仿宋"/>
        </w:rPr>
        <w:t>f.采购人与竞标人为谋求特定竞标人中选而采取的其他串通行为。</w:t>
      </w:r>
    </w:p>
    <w:p>
      <w:pPr>
        <w:spacing w:line="312" w:lineRule="auto"/>
        <w:ind w:firstLine="640" w:firstLineChars="200"/>
        <w:rPr>
          <w:rFonts w:ascii="仿宋" w:hAnsi="仿宋" w:eastAsia="仿宋" w:cs="仿宋"/>
        </w:rPr>
      </w:pPr>
      <w:r>
        <w:rPr>
          <w:rFonts w:hint="eastAsia" w:ascii="仿宋" w:hAnsi="仿宋" w:eastAsia="仿宋" w:cs="仿宋"/>
        </w:rPr>
        <w:t>(4)竞标人有下列情形之一的，属于弄虚作假的行为：</w:t>
      </w:r>
    </w:p>
    <w:p>
      <w:pPr>
        <w:spacing w:line="312" w:lineRule="auto"/>
        <w:ind w:firstLine="640" w:firstLineChars="200"/>
        <w:rPr>
          <w:rFonts w:ascii="仿宋" w:hAnsi="仿宋" w:eastAsia="仿宋" w:cs="仿宋"/>
        </w:rPr>
      </w:pPr>
      <w:r>
        <w:rPr>
          <w:rFonts w:hint="eastAsia" w:ascii="仿宋" w:hAnsi="仿宋" w:eastAsia="仿宋" w:cs="仿宋"/>
        </w:rPr>
        <w:t>a.使用通过受让或者租借等方式获取的资格、资质证书投标；</w:t>
      </w:r>
    </w:p>
    <w:p>
      <w:pPr>
        <w:spacing w:line="312" w:lineRule="auto"/>
        <w:ind w:firstLine="640" w:firstLineChars="200"/>
        <w:rPr>
          <w:rFonts w:ascii="仿宋" w:hAnsi="仿宋" w:eastAsia="仿宋" w:cs="仿宋"/>
        </w:rPr>
      </w:pPr>
      <w:r>
        <w:rPr>
          <w:rFonts w:hint="eastAsia" w:ascii="仿宋" w:hAnsi="仿宋" w:eastAsia="仿宋" w:cs="仿宋"/>
        </w:rPr>
        <w:t>b.使用伪造、变造的许可证件；</w:t>
      </w:r>
    </w:p>
    <w:p>
      <w:pPr>
        <w:spacing w:line="312" w:lineRule="auto"/>
        <w:ind w:firstLine="640" w:firstLineChars="200"/>
        <w:rPr>
          <w:rFonts w:ascii="仿宋" w:hAnsi="仿宋" w:eastAsia="仿宋" w:cs="仿宋"/>
        </w:rPr>
      </w:pPr>
      <w:r>
        <w:rPr>
          <w:rFonts w:hint="eastAsia" w:ascii="仿宋" w:hAnsi="仿宋" w:eastAsia="仿宋" w:cs="仿宋"/>
        </w:rPr>
        <w:t>c.提供虚假的业绩；</w:t>
      </w:r>
    </w:p>
    <w:p>
      <w:pPr>
        <w:spacing w:line="312" w:lineRule="auto"/>
        <w:ind w:firstLine="640" w:firstLineChars="200"/>
        <w:rPr>
          <w:rFonts w:ascii="仿宋" w:hAnsi="仿宋" w:eastAsia="仿宋" w:cs="仿宋"/>
        </w:rPr>
      </w:pPr>
      <w:r>
        <w:rPr>
          <w:rFonts w:hint="eastAsia" w:ascii="仿宋" w:hAnsi="仿宋" w:eastAsia="仿宋" w:cs="仿宋"/>
        </w:rPr>
        <w:t>d.提供虚假的人员简历、劳动关系证明；</w:t>
      </w:r>
    </w:p>
    <w:p>
      <w:pPr>
        <w:spacing w:line="312" w:lineRule="auto"/>
        <w:ind w:firstLine="640" w:firstLineChars="200"/>
        <w:rPr>
          <w:rFonts w:ascii="仿宋" w:hAnsi="仿宋" w:eastAsia="仿宋" w:cs="仿宋"/>
        </w:rPr>
      </w:pPr>
      <w:r>
        <w:rPr>
          <w:rFonts w:hint="eastAsia" w:ascii="仿宋" w:hAnsi="仿宋" w:eastAsia="仿宋" w:cs="仿宋"/>
        </w:rPr>
        <w:t>e.提供虚假的信用状况；</w:t>
      </w:r>
    </w:p>
    <w:p>
      <w:pPr>
        <w:spacing w:line="312" w:lineRule="auto"/>
        <w:ind w:firstLine="640" w:firstLineChars="200"/>
        <w:rPr>
          <w:rFonts w:ascii="仿宋" w:hAnsi="仿宋" w:eastAsia="仿宋" w:cs="仿宋"/>
        </w:rPr>
      </w:pPr>
      <w:r>
        <w:rPr>
          <w:rFonts w:hint="eastAsia" w:ascii="仿宋" w:hAnsi="仿宋" w:eastAsia="仿宋" w:cs="仿宋"/>
        </w:rPr>
        <w:t>f.其他弄虚作假的行为。</w:t>
      </w:r>
    </w:p>
    <w:p>
      <w:pPr>
        <w:spacing w:line="312" w:lineRule="auto"/>
        <w:rPr>
          <w:rFonts w:ascii="仿宋" w:hAnsi="仿宋" w:eastAsia="仿宋" w:cs="仿宋"/>
          <w:b/>
          <w:bCs/>
          <w:spacing w:val="-6"/>
        </w:rPr>
      </w:pPr>
      <w:r>
        <w:rPr>
          <w:rFonts w:hint="eastAsia" w:ascii="仿宋" w:hAnsi="仿宋" w:eastAsia="仿宋" w:cs="仿宋"/>
          <w:b/>
          <w:bCs/>
          <w:spacing w:val="-6"/>
        </w:rPr>
        <w:t>9. 综合得分</w:t>
      </w:r>
    </w:p>
    <w:p>
      <w:pPr>
        <w:snapToGrid w:val="0"/>
        <w:spacing w:line="312" w:lineRule="auto"/>
        <w:ind w:firstLine="672" w:firstLineChars="210"/>
        <w:rPr>
          <w:rFonts w:ascii="仿宋" w:hAnsi="仿宋" w:eastAsia="仿宋" w:cs="仿宋"/>
        </w:rPr>
      </w:pPr>
      <w:r>
        <w:rPr>
          <w:rFonts w:hint="eastAsia" w:ascii="仿宋" w:hAnsi="仿宋" w:eastAsia="仿宋" w:cs="仿宋"/>
        </w:rPr>
        <w:t>各竞标人的综合得分等于技术评分、商务评分与财务评分之和。</w:t>
      </w:r>
    </w:p>
    <w:p>
      <w:pPr>
        <w:spacing w:line="312" w:lineRule="auto"/>
        <w:rPr>
          <w:rFonts w:ascii="仿宋" w:hAnsi="仿宋" w:eastAsia="仿宋" w:cs="仿宋"/>
          <w:b/>
          <w:bCs/>
          <w:spacing w:val="-6"/>
        </w:rPr>
      </w:pPr>
      <w:r>
        <w:rPr>
          <w:rFonts w:hint="eastAsia" w:ascii="仿宋" w:hAnsi="仿宋" w:eastAsia="仿宋" w:cs="仿宋"/>
          <w:b/>
          <w:bCs/>
          <w:spacing w:val="-6"/>
        </w:rPr>
        <w:t>10．推荐中选候选人</w:t>
      </w:r>
    </w:p>
    <w:p>
      <w:pPr>
        <w:spacing w:line="360" w:lineRule="auto"/>
        <w:ind w:firstLine="640" w:firstLineChars="200"/>
        <w:rPr>
          <w:rFonts w:ascii="仿宋" w:hAnsi="仿宋" w:eastAsia="仿宋" w:cs="仿宋"/>
        </w:rPr>
      </w:pPr>
      <w:r>
        <w:rPr>
          <w:rFonts w:hint="eastAsia" w:ascii="仿宋" w:hAnsi="仿宋" w:eastAsia="仿宋" w:cs="仿宋"/>
        </w:rPr>
        <w:t>根据综合得分由高至低排序，推荐得分前三名为中选候选人。若综合得分相同时，以报价低者优先。评审小组完成评标后，应当向采购人提交书面评审报告和成交候选人名单。</w:t>
      </w:r>
    </w:p>
    <w:p>
      <w:pPr>
        <w:spacing w:line="312" w:lineRule="auto"/>
        <w:ind w:firstLine="643" w:firstLineChars="200"/>
        <w:rPr>
          <w:rFonts w:ascii="仿宋" w:hAnsi="仿宋" w:eastAsia="仿宋" w:cs="仿宋"/>
          <w:b/>
        </w:rPr>
      </w:pPr>
      <w:r>
        <w:rPr>
          <w:rFonts w:hint="eastAsia" w:ascii="仿宋" w:hAnsi="仿宋" w:eastAsia="仿宋" w:cs="仿宋"/>
          <w:b/>
        </w:rPr>
        <w:t xml:space="preserve">评审小组对响应文件进行评审后，因有效投标不足3个使得投标明显缺乏竞争的，可以否决全部投标。未否决全部投标的，评审小组应当按照《公路工程建设项目招标投标管理办法》（交通运输部令2015年第24号）第五十一条的规定在评标报告中阐明理由并推荐中选候选人。 </w:t>
      </w:r>
    </w:p>
    <w:p>
      <w:pPr>
        <w:rPr>
          <w:rFonts w:ascii="仿宋" w:hAnsi="仿宋" w:eastAsia="仿宋" w:cs="仿宋"/>
          <w:b/>
        </w:rPr>
      </w:pPr>
    </w:p>
    <w:p>
      <w:pPr>
        <w:rPr>
          <w:rFonts w:ascii="仿宋" w:hAnsi="仿宋" w:eastAsia="仿宋" w:cs="仿宋"/>
          <w:b/>
        </w:rPr>
      </w:pPr>
      <w:r>
        <w:rPr>
          <w:rFonts w:ascii="仿宋" w:hAnsi="仿宋" w:eastAsia="仿宋" w:cs="仿宋"/>
          <w:b/>
        </w:rPr>
        <w:br w:type="page"/>
      </w:r>
    </w:p>
    <w:p>
      <w:pPr>
        <w:keepNext/>
        <w:keepLines/>
        <w:spacing w:before="280" w:after="290"/>
        <w:jc w:val="center"/>
        <w:outlineLvl w:val="3"/>
        <w:rPr>
          <w:rFonts w:ascii="仿宋" w:hAnsi="仿宋" w:eastAsia="仿宋" w:cs="仿宋"/>
          <w:bCs/>
          <w:sz w:val="24"/>
          <w:szCs w:val="24"/>
        </w:rPr>
      </w:pPr>
      <w:bookmarkStart w:id="10" w:name="_Toc30418"/>
      <w:bookmarkStart w:id="11" w:name="_Toc1958"/>
      <w:bookmarkStart w:id="12" w:name="_Toc594"/>
      <w:bookmarkStart w:id="13" w:name="_Toc189369360"/>
      <w:r>
        <w:rPr>
          <w:rFonts w:hint="eastAsia" w:ascii="仿宋" w:hAnsi="仿宋" w:eastAsia="仿宋" w:cs="仿宋"/>
          <w:b/>
          <w:bCs/>
          <w:sz w:val="24"/>
          <w:szCs w:val="24"/>
        </w:rPr>
        <w:t>附录1 资格审查条件（资质最低条件）</w:t>
      </w:r>
    </w:p>
    <w:tbl>
      <w:tblPr>
        <w:tblStyle w:val="26"/>
        <w:tblpPr w:leftFromText="180" w:rightFromText="180" w:vertAnchor="text" w:horzAnchor="margin" w:tblpXSpec="center" w:tblpY="342"/>
        <w:tblW w:w="9291" w:type="dxa"/>
        <w:tblInd w:w="0" w:type="dxa"/>
        <w:tblBorders>
          <w:top w:val="single" w:color="auto" w:sz="4" w:space="0"/>
          <w:left w:val="single" w:color="auto" w:sz="4" w:space="0"/>
          <w:bottom w:val="single" w:color="auto" w:sz="4" w:space="0"/>
          <w:right w:val="sing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291"/>
      </w:tblGrid>
      <w:tr>
        <w:tblPrEx>
          <w:tblBorders>
            <w:top w:val="single" w:color="auto" w:sz="4" w:space="0"/>
            <w:left w:val="single" w:color="auto" w:sz="4" w:space="0"/>
            <w:bottom w:val="single" w:color="auto" w:sz="4" w:space="0"/>
            <w:right w:val="sing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935" w:hRule="atLeast"/>
        </w:trPr>
        <w:tc>
          <w:tcPr>
            <w:tcW w:w="9291" w:type="dxa"/>
            <w:vAlign w:val="center"/>
          </w:tcPr>
          <w:p>
            <w:pPr>
              <w:tabs>
                <w:tab w:val="left" w:pos="2300"/>
                <w:tab w:val="left" w:pos="5660"/>
              </w:tabs>
              <w:autoSpaceDE w:val="0"/>
              <w:autoSpaceDN w:val="0"/>
              <w:adjustRightInd w:val="0"/>
              <w:spacing w:line="360" w:lineRule="auto"/>
              <w:rPr>
                <w:rFonts w:ascii="仿宋" w:hAnsi="仿宋" w:eastAsia="仿宋"/>
                <w:sz w:val="24"/>
                <w:szCs w:val="24"/>
                <w:shd w:val="clear" w:color="auto" w:fill="FFFFFF"/>
              </w:rPr>
            </w:pPr>
            <w:r>
              <w:rPr>
                <w:rFonts w:hint="eastAsia" w:ascii="仿宋" w:hAnsi="仿宋" w:eastAsia="仿宋" w:cs="仿宋"/>
                <w:sz w:val="24"/>
                <w:szCs w:val="24"/>
              </w:rPr>
              <w:t>独立法人，具有有效的营业执照、有害生物防制服务机构A级资质。</w:t>
            </w:r>
          </w:p>
        </w:tc>
      </w:tr>
    </w:tbl>
    <w:p>
      <w:pPr>
        <w:keepNext/>
        <w:keepLines/>
        <w:spacing w:before="280" w:after="290"/>
        <w:jc w:val="center"/>
        <w:outlineLvl w:val="3"/>
        <w:rPr>
          <w:rFonts w:ascii="仿宋" w:hAnsi="仿宋" w:eastAsia="仿宋" w:cs="仿宋"/>
          <w:b/>
          <w:bCs/>
          <w:sz w:val="24"/>
          <w:szCs w:val="24"/>
        </w:rPr>
      </w:pPr>
      <w:r>
        <w:rPr>
          <w:rFonts w:hint="eastAsia" w:ascii="仿宋" w:hAnsi="仿宋" w:eastAsia="仿宋" w:cs="仿宋"/>
          <w:b/>
          <w:bCs/>
          <w:sz w:val="24"/>
          <w:szCs w:val="24"/>
        </w:rPr>
        <w:t>附录2 资格审查条件（业绩最低要求）</w:t>
      </w:r>
    </w:p>
    <w:tbl>
      <w:tblPr>
        <w:tblStyle w:val="26"/>
        <w:tblW w:w="9320" w:type="dxa"/>
        <w:tblInd w:w="113" w:type="dxa"/>
        <w:tblBorders>
          <w:top w:val="single" w:color="auto" w:sz="4" w:space="0"/>
          <w:left w:val="single" w:color="auto" w:sz="4" w:space="0"/>
          <w:bottom w:val="single" w:color="auto" w:sz="4" w:space="0"/>
          <w:right w:val="sing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016" w:hRule="atLeast"/>
        </w:trPr>
        <w:tc>
          <w:tcPr>
            <w:tcW w:w="9320" w:type="dxa"/>
            <w:vAlign w:val="center"/>
          </w:tcPr>
          <w:p>
            <w:pPr>
              <w:widowControl/>
              <w:adjustRightInd w:val="0"/>
              <w:snapToGrid w:val="0"/>
              <w:spacing w:line="360" w:lineRule="auto"/>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近年（2016年1月1日至今）至少有1个四害消杀面积不低于3000平方米，且工作场所须包含餐饮或商超或酒店的相关灭四害服务项目 (提供业绩的合同协议书复印件,时间以合同协议书的签订时间为准)。</w:t>
            </w:r>
          </w:p>
        </w:tc>
      </w:tr>
    </w:tbl>
    <w:p>
      <w:pPr>
        <w:keepNext/>
        <w:keepLines/>
        <w:spacing w:before="280" w:after="290"/>
        <w:jc w:val="center"/>
        <w:outlineLvl w:val="3"/>
        <w:rPr>
          <w:rFonts w:ascii="仿宋" w:hAnsi="仿宋" w:eastAsia="仿宋" w:cs="仿宋"/>
          <w:b/>
          <w:bCs/>
          <w:sz w:val="24"/>
          <w:szCs w:val="24"/>
        </w:rPr>
      </w:pPr>
      <w:r>
        <w:rPr>
          <w:rFonts w:hint="eastAsia" w:ascii="仿宋" w:hAnsi="仿宋" w:eastAsia="仿宋" w:cs="仿宋"/>
          <w:b/>
          <w:bCs/>
          <w:sz w:val="24"/>
          <w:szCs w:val="24"/>
        </w:rPr>
        <w:t>附录</w:t>
      </w:r>
      <w:r>
        <w:rPr>
          <w:rFonts w:ascii="仿宋" w:hAnsi="仿宋" w:eastAsia="仿宋" w:cs="仿宋"/>
          <w:b/>
          <w:bCs/>
          <w:sz w:val="24"/>
          <w:szCs w:val="24"/>
        </w:rPr>
        <w:t>3</w:t>
      </w:r>
      <w:r>
        <w:rPr>
          <w:rFonts w:hint="eastAsia" w:ascii="仿宋" w:hAnsi="仿宋" w:eastAsia="仿宋" w:cs="仿宋"/>
          <w:b/>
          <w:bCs/>
          <w:sz w:val="24"/>
          <w:szCs w:val="24"/>
        </w:rPr>
        <w:t>、人员审查条件（人员最低要求）</w:t>
      </w:r>
    </w:p>
    <w:tbl>
      <w:tblPr>
        <w:tblStyle w:val="26"/>
        <w:tblW w:w="9320" w:type="dxa"/>
        <w:tblInd w:w="113" w:type="dxa"/>
        <w:tblBorders>
          <w:top w:val="single" w:color="auto" w:sz="4" w:space="0"/>
          <w:left w:val="single" w:color="auto" w:sz="4" w:space="0"/>
          <w:bottom w:val="single" w:color="auto" w:sz="4" w:space="0"/>
          <w:right w:val="sing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double" w:color="auto" w:sz="4" w:space="0"/>
            <w:insideV w:val="double" w:color="auto" w:sz="4" w:space="0"/>
          </w:tblBorders>
          <w:tblLayout w:type="fixed"/>
          <w:tblCellMar>
            <w:top w:w="0" w:type="dxa"/>
            <w:left w:w="108" w:type="dxa"/>
            <w:bottom w:w="0" w:type="dxa"/>
            <w:right w:w="108" w:type="dxa"/>
          </w:tblCellMar>
        </w:tblPrEx>
        <w:trPr>
          <w:trHeight w:val="1016" w:hRule="atLeast"/>
        </w:trPr>
        <w:tc>
          <w:tcPr>
            <w:tcW w:w="9320" w:type="dxa"/>
            <w:vAlign w:val="center"/>
          </w:tcPr>
          <w:p>
            <w:pPr>
              <w:widowControl/>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sz w:val="24"/>
                <w:szCs w:val="24"/>
              </w:rPr>
              <w:t>项目负责人最低</w:t>
            </w:r>
            <w:r>
              <w:rPr>
                <w:rFonts w:ascii="仿宋" w:hAnsi="仿宋" w:eastAsia="仿宋"/>
                <w:sz w:val="24"/>
                <w:szCs w:val="24"/>
              </w:rPr>
              <w:t>要求：</w:t>
            </w:r>
            <w:r>
              <w:rPr>
                <w:rFonts w:hint="eastAsia" w:ascii="仿宋" w:hAnsi="仿宋" w:eastAsia="仿宋"/>
                <w:sz w:val="24"/>
                <w:szCs w:val="24"/>
              </w:rPr>
              <w:t>拟担任本项目的负责人须</w:t>
            </w:r>
            <w:r>
              <w:rPr>
                <w:rFonts w:hint="eastAsia" w:ascii="仿宋" w:hAnsi="仿宋" w:eastAsia="仿宋" w:cs="宋体"/>
                <w:kern w:val="0"/>
                <w:sz w:val="24"/>
                <w:szCs w:val="24"/>
              </w:rPr>
              <w:t>具有有害生物防制员高级证书且</w:t>
            </w:r>
            <w:r>
              <w:rPr>
                <w:rFonts w:hint="eastAsia" w:ascii="仿宋" w:hAnsi="仿宋" w:eastAsia="仿宋" w:cs="宋体"/>
                <w:sz w:val="24"/>
                <w:szCs w:val="24"/>
              </w:rPr>
              <w:t>近三年（2016年1月1日至今）</w:t>
            </w:r>
            <w:r>
              <w:rPr>
                <w:rFonts w:hint="eastAsia" w:ascii="仿宋" w:hAnsi="仿宋" w:eastAsia="仿宋" w:cs="宋体"/>
                <w:kern w:val="0"/>
                <w:sz w:val="24"/>
                <w:szCs w:val="24"/>
              </w:rPr>
              <w:t>负责过</w:t>
            </w:r>
            <w:r>
              <w:rPr>
                <w:rFonts w:hint="eastAsia" w:ascii="仿宋" w:hAnsi="仿宋" w:eastAsia="仿宋" w:cs="仿宋"/>
                <w:color w:val="000000"/>
                <w:kern w:val="0"/>
                <w:sz w:val="24"/>
                <w:szCs w:val="24"/>
              </w:rPr>
              <w:t>1个</w:t>
            </w:r>
            <w:r>
              <w:rPr>
                <w:rFonts w:hint="eastAsia" w:ascii="仿宋" w:hAnsi="仿宋" w:eastAsia="仿宋" w:cs="宋体"/>
                <w:sz w:val="24"/>
                <w:szCs w:val="24"/>
              </w:rPr>
              <w:t>灭四</w:t>
            </w:r>
            <w:r>
              <w:rPr>
                <w:rFonts w:hint="eastAsia" w:ascii="仿宋" w:hAnsi="仿宋" w:eastAsia="仿宋" w:cs="仿宋"/>
                <w:color w:val="000000"/>
                <w:kern w:val="0"/>
                <w:sz w:val="24"/>
                <w:szCs w:val="24"/>
              </w:rPr>
              <w:t>害消杀面积不低于3000平方米，且工作场所须包含餐饮或商超或酒店的相关灭四害服务项目 (提供业绩的合同协议书复印件,时间以合同协议书的签订时间为准)。</w:t>
            </w:r>
          </w:p>
        </w:tc>
      </w:tr>
    </w:tbl>
    <w:p>
      <w:pPr>
        <w:keepNext/>
        <w:keepLines/>
        <w:spacing w:before="280" w:after="290" w:line="376" w:lineRule="auto"/>
        <w:jc w:val="center"/>
        <w:outlineLvl w:val="3"/>
        <w:rPr>
          <w:rFonts w:ascii="仿宋" w:hAnsi="仿宋" w:eastAsia="仿宋" w:cs="仿宋"/>
          <w:b/>
          <w:bCs/>
          <w:sz w:val="24"/>
          <w:szCs w:val="24"/>
        </w:rPr>
      </w:pPr>
      <w:r>
        <w:rPr>
          <w:rFonts w:hint="eastAsia" w:ascii="仿宋" w:hAnsi="仿宋" w:eastAsia="仿宋" w:cs="仿宋"/>
          <w:b/>
          <w:bCs/>
          <w:sz w:val="24"/>
          <w:szCs w:val="24"/>
        </w:rPr>
        <w:t>附录4 资格审查条件（信誉最低要求）</w:t>
      </w:r>
    </w:p>
    <w:tbl>
      <w:tblPr>
        <w:tblStyle w:val="26"/>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9286" w:type="dxa"/>
            <w:vAlign w:val="center"/>
          </w:tcPr>
          <w:p>
            <w:pPr>
              <w:adjustRightInd w:val="0"/>
              <w:snapToGrid w:val="0"/>
              <w:spacing w:line="300" w:lineRule="auto"/>
              <w:jc w:val="center"/>
              <w:rPr>
                <w:rFonts w:ascii="仿宋" w:hAnsi="仿宋" w:eastAsia="仿宋" w:cs="仿宋"/>
                <w:sz w:val="24"/>
                <w:szCs w:val="24"/>
              </w:rPr>
            </w:pPr>
            <w:r>
              <w:rPr>
                <w:rFonts w:hint="eastAsia" w:ascii="仿宋" w:hAnsi="仿宋" w:eastAsia="仿宋" w:cs="仿宋"/>
                <w:sz w:val="24"/>
                <w:szCs w:val="24"/>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jc w:val="center"/>
        </w:trPr>
        <w:tc>
          <w:tcPr>
            <w:tcW w:w="9286" w:type="dxa"/>
            <w:vAlign w:val="center"/>
          </w:tcPr>
          <w:p>
            <w:pPr>
              <w:adjustRightInd w:val="0"/>
              <w:snapToGrid w:val="0"/>
              <w:spacing w:line="300" w:lineRule="auto"/>
              <w:jc w:val="left"/>
              <w:rPr>
                <w:rFonts w:ascii="仿宋" w:hAnsi="仿宋" w:eastAsia="仿宋"/>
                <w:sz w:val="24"/>
                <w:szCs w:val="24"/>
              </w:rPr>
            </w:pPr>
            <w:r>
              <w:rPr>
                <w:rFonts w:hint="eastAsia" w:ascii="仿宋" w:hAnsi="仿宋" w:eastAsia="仿宋"/>
                <w:sz w:val="24"/>
                <w:szCs w:val="24"/>
              </w:rPr>
              <w:t>1被责令停业，暂扣或吊销执照，或吊销资质证书。</w:t>
            </w:r>
          </w:p>
          <w:p>
            <w:pPr>
              <w:adjustRightInd w:val="0"/>
              <w:snapToGrid w:val="0"/>
              <w:spacing w:line="300" w:lineRule="auto"/>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进入清算程序，或被宣告破产，或其他丧失履约能力的情形。</w:t>
            </w:r>
          </w:p>
          <w:p>
            <w:pPr>
              <w:adjustRightInd w:val="0"/>
              <w:snapToGrid w:val="0"/>
              <w:spacing w:line="300" w:lineRule="auto"/>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在国家企业信用信息公示系统（http://www.gsxt.gov.cn）中被列入严重违法失信企业名单。</w:t>
            </w:r>
          </w:p>
          <w:p>
            <w:pPr>
              <w:adjustRightInd w:val="0"/>
              <w:snapToGrid w:val="0"/>
              <w:spacing w:line="300" w:lineRule="auto"/>
              <w:jc w:val="left"/>
              <w:rPr>
                <w:rFonts w:ascii="仿宋" w:hAnsi="仿宋" w:eastAsia="仿宋"/>
                <w:sz w:val="24"/>
                <w:szCs w:val="24"/>
              </w:rPr>
            </w:pPr>
            <w:r>
              <w:rPr>
                <w:rFonts w:ascii="仿宋" w:hAnsi="仿宋" w:eastAsia="仿宋"/>
                <w:sz w:val="24"/>
                <w:szCs w:val="24"/>
              </w:rPr>
              <w:t>4</w:t>
            </w:r>
            <w:r>
              <w:fldChar w:fldCharType="begin"/>
            </w:r>
            <w:r>
              <w:instrText xml:space="preserve"> HYPERLINK "http://www.creditchina.gov.cn/" \h </w:instrText>
            </w:r>
            <w:r>
              <w:fldChar w:fldCharType="separate"/>
            </w:r>
            <w:r>
              <w:rPr>
                <w:rFonts w:hint="eastAsia" w:ascii="仿宋" w:hAnsi="仿宋" w:eastAsia="仿宋"/>
                <w:sz w:val="24"/>
                <w:szCs w:val="24"/>
              </w:rPr>
              <w:t>在“信用中国”网站（http://w</w:t>
            </w:r>
            <w:r>
              <w:rPr>
                <w:rFonts w:hint="eastAsia" w:ascii="仿宋" w:hAnsi="仿宋" w:eastAsia="仿宋"/>
                <w:sz w:val="24"/>
                <w:szCs w:val="24"/>
              </w:rPr>
              <w:fldChar w:fldCharType="end"/>
            </w:r>
            <w:r>
              <w:rPr>
                <w:rFonts w:hint="eastAsia" w:ascii="仿宋" w:hAnsi="仿宋" w:eastAsia="仿宋"/>
                <w:sz w:val="24"/>
                <w:szCs w:val="24"/>
              </w:rPr>
              <w:t>w</w:t>
            </w:r>
            <w:r>
              <w:fldChar w:fldCharType="begin"/>
            </w:r>
            <w:r>
              <w:instrText xml:space="preserve"> HYPERLINK "http://www.creditchina.gov.cn/" \h </w:instrText>
            </w:r>
            <w:r>
              <w:fldChar w:fldCharType="separate"/>
            </w:r>
            <w:r>
              <w:rPr>
                <w:rFonts w:hint="eastAsia" w:ascii="仿宋" w:hAnsi="仿宋" w:eastAsia="仿宋"/>
                <w:sz w:val="24"/>
                <w:szCs w:val="24"/>
              </w:rPr>
              <w:t>w.creditchina.gov.c</w:t>
            </w:r>
            <w:r>
              <w:rPr>
                <w:rFonts w:hint="eastAsia" w:ascii="仿宋" w:hAnsi="仿宋" w:eastAsia="仿宋"/>
                <w:sz w:val="24"/>
                <w:szCs w:val="24"/>
              </w:rPr>
              <w:fldChar w:fldCharType="end"/>
            </w:r>
            <w:r>
              <w:rPr>
                <w:rFonts w:hint="eastAsia" w:ascii="仿宋" w:hAnsi="仿宋" w:eastAsia="仿宋"/>
                <w:sz w:val="24"/>
                <w:szCs w:val="24"/>
              </w:rPr>
              <w:t>n）中被列入失信被执行人名单。</w:t>
            </w:r>
          </w:p>
          <w:p>
            <w:pPr>
              <w:widowControl/>
              <w:adjustRightInd w:val="0"/>
              <w:snapToGrid w:val="0"/>
              <w:spacing w:line="360" w:lineRule="auto"/>
              <w:jc w:val="left"/>
              <w:rPr>
                <w:rFonts w:ascii="仿宋" w:hAnsi="仿宋" w:eastAsia="仿宋" w:cs="仿宋"/>
                <w:color w:val="000000"/>
                <w:sz w:val="24"/>
                <w:szCs w:val="24"/>
              </w:rPr>
            </w:pPr>
            <w:r>
              <w:rPr>
                <w:rFonts w:ascii="仿宋" w:hAnsi="仿宋" w:eastAsia="仿宋"/>
                <w:sz w:val="24"/>
                <w:szCs w:val="24"/>
              </w:rPr>
              <w:t>5</w:t>
            </w:r>
            <w:r>
              <w:rPr>
                <w:rFonts w:hint="eastAsia" w:ascii="仿宋" w:hAnsi="仿宋" w:eastAsia="仿宋"/>
                <w:sz w:val="24"/>
                <w:szCs w:val="24"/>
              </w:rPr>
              <w:t>竞标人和其法定代表人、拟委任的项目经理或项目设计负责人在近三年内有行贿犯罪行为的。</w:t>
            </w:r>
          </w:p>
          <w:p>
            <w:pPr>
              <w:widowControl/>
              <w:adjustRightInd w:val="0"/>
              <w:snapToGrid w:val="0"/>
              <w:spacing w:line="360" w:lineRule="auto"/>
              <w:jc w:val="left"/>
              <w:rPr>
                <w:rFonts w:ascii="仿宋" w:hAnsi="仿宋" w:eastAsia="仿宋" w:cs="仿宋"/>
                <w:color w:val="000000"/>
                <w:sz w:val="24"/>
                <w:szCs w:val="24"/>
              </w:rPr>
            </w:pPr>
            <w:r>
              <w:rPr>
                <w:rFonts w:ascii="仿宋" w:hAnsi="仿宋" w:eastAsia="仿宋" w:cs="仿宋"/>
                <w:color w:val="000000"/>
                <w:sz w:val="24"/>
                <w:szCs w:val="24"/>
              </w:rPr>
              <w:t>6</w:t>
            </w:r>
            <w:r>
              <w:rPr>
                <w:rFonts w:hint="eastAsia" w:ascii="仿宋" w:hAnsi="仿宋" w:eastAsia="仿宋" w:cs="仿宋"/>
                <w:color w:val="000000"/>
                <w:sz w:val="24"/>
                <w:szCs w:val="24"/>
              </w:rPr>
              <w:t>没有被税务部门列入重大税收违法案件当事人名单的。</w:t>
            </w:r>
          </w:p>
          <w:p>
            <w:pPr>
              <w:widowControl/>
              <w:adjustRightInd w:val="0"/>
              <w:snapToGrid w:val="0"/>
              <w:spacing w:line="360" w:lineRule="auto"/>
              <w:jc w:val="left"/>
              <w:rPr>
                <w:rFonts w:ascii="仿宋" w:hAnsi="仿宋" w:eastAsia="仿宋" w:cs="仿宋"/>
                <w:color w:val="000000"/>
                <w:sz w:val="24"/>
                <w:szCs w:val="24"/>
              </w:rPr>
            </w:pPr>
            <w:r>
              <w:rPr>
                <w:rFonts w:ascii="仿宋" w:hAnsi="仿宋" w:eastAsia="仿宋" w:cs="仿宋"/>
                <w:color w:val="000000"/>
                <w:sz w:val="24"/>
                <w:szCs w:val="24"/>
              </w:rPr>
              <w:t>7</w:t>
            </w:r>
            <w:r>
              <w:rPr>
                <w:rFonts w:hint="eastAsia" w:ascii="仿宋" w:hAnsi="仿宋" w:eastAsia="仿宋" w:cs="仿宋"/>
                <w:color w:val="000000"/>
                <w:sz w:val="24"/>
                <w:szCs w:val="24"/>
              </w:rPr>
              <w:t>竞标人没有正受到在本采购项目所在地市级行政区域内取消投标资格的行政处罚。</w:t>
            </w:r>
          </w:p>
          <w:p>
            <w:pPr>
              <w:widowControl/>
              <w:adjustRightInd w:val="0"/>
              <w:snapToGrid w:val="0"/>
              <w:spacing w:line="360" w:lineRule="auto"/>
              <w:jc w:val="left"/>
              <w:rPr>
                <w:rFonts w:ascii="仿宋" w:hAnsi="仿宋" w:eastAsia="仿宋" w:cs="仿宋"/>
                <w:color w:val="000000"/>
                <w:sz w:val="24"/>
                <w:szCs w:val="24"/>
              </w:rPr>
            </w:pPr>
          </w:p>
        </w:tc>
      </w:tr>
    </w:tbl>
    <w:p>
      <w:pPr>
        <w:rPr>
          <w:rFonts w:ascii="宋体" w:hAnsi="宋体" w:cs="宋体"/>
          <w:sz w:val="22"/>
          <w:szCs w:val="22"/>
        </w:rPr>
      </w:pPr>
    </w:p>
    <w:p>
      <w:pPr>
        <w:keepNext/>
        <w:keepLines/>
        <w:spacing w:before="240" w:after="240" w:line="600" w:lineRule="exact"/>
        <w:jc w:val="center"/>
        <w:outlineLvl w:val="0"/>
        <w:rPr>
          <w:rFonts w:ascii="Times New Roman" w:eastAsia="方正小标宋简体"/>
          <w:bCs/>
          <w:kern w:val="44"/>
          <w:sz w:val="44"/>
          <w:szCs w:val="22"/>
        </w:rPr>
      </w:pPr>
      <w:r>
        <w:rPr>
          <w:rFonts w:ascii="Times New Roman" w:eastAsia="方正小标宋简体"/>
          <w:bCs/>
          <w:kern w:val="44"/>
          <w:sz w:val="44"/>
          <w:szCs w:val="22"/>
        </w:rPr>
        <w:t>第四章  合同条款及格式</w:t>
      </w:r>
      <w:bookmarkEnd w:id="10"/>
      <w:bookmarkEnd w:id="11"/>
      <w:bookmarkEnd w:id="12"/>
    </w:p>
    <w:bookmarkEnd w:id="13"/>
    <w:p>
      <w:pPr>
        <w:keepNext/>
        <w:keepLines/>
        <w:spacing w:before="260" w:after="260" w:line="416" w:lineRule="auto"/>
        <w:jc w:val="center"/>
        <w:outlineLvl w:val="2"/>
        <w:rPr>
          <w:rFonts w:ascii="宋体" w:hAnsi="宋体" w:eastAsia="宋体" w:cs="宋体"/>
          <w:b/>
          <w:sz w:val="30"/>
          <w:szCs w:val="30"/>
        </w:rPr>
      </w:pPr>
      <w:bookmarkStart w:id="14" w:name="page50"/>
      <w:bookmarkEnd w:id="14"/>
      <w:bookmarkStart w:id="15" w:name="_Toc31851"/>
      <w:bookmarkStart w:id="16" w:name="_Toc25838"/>
      <w:r>
        <w:rPr>
          <w:rFonts w:hint="eastAsia" w:ascii="宋体" w:hAnsi="宋体" w:eastAsia="宋体" w:cs="宋体"/>
          <w:b/>
          <w:sz w:val="30"/>
          <w:szCs w:val="30"/>
        </w:rPr>
        <w:t>合同协议书</w:t>
      </w:r>
      <w:bookmarkEnd w:id="15"/>
      <w:bookmarkEnd w:id="16"/>
    </w:p>
    <w:p>
      <w:pPr>
        <w:adjustRightInd w:val="0"/>
        <w:snapToGrid w:val="0"/>
        <w:spacing w:line="360" w:lineRule="auto"/>
        <w:ind w:firstLine="430" w:firstLineChars="200"/>
        <w:rPr>
          <w:rFonts w:ascii="宋体" w:hAnsi="宋体" w:eastAsia="宋体"/>
          <w:b/>
          <w:spacing w:val="2"/>
          <w:sz w:val="21"/>
          <w:szCs w:val="21"/>
        </w:rPr>
      </w:pPr>
      <w:r>
        <w:rPr>
          <w:rFonts w:hint="eastAsia" w:ascii="宋体" w:hAnsi="宋体" w:eastAsia="宋体"/>
          <w:b/>
          <w:spacing w:val="2"/>
          <w:sz w:val="21"/>
          <w:szCs w:val="21"/>
        </w:rPr>
        <w:t xml:space="preserve">甲方：安徽省驿达高速公路服务区经营管理有限公司 </w:t>
      </w:r>
    </w:p>
    <w:p>
      <w:pPr>
        <w:adjustRightInd w:val="0"/>
        <w:snapToGrid w:val="0"/>
        <w:spacing w:line="360" w:lineRule="auto"/>
        <w:ind w:firstLine="430" w:firstLineChars="200"/>
        <w:rPr>
          <w:rFonts w:ascii="宋体" w:hAnsi="宋体" w:eastAsia="宋体"/>
          <w:b/>
          <w:color w:val="000000"/>
          <w:spacing w:val="2"/>
          <w:sz w:val="21"/>
          <w:szCs w:val="21"/>
        </w:rPr>
      </w:pPr>
      <w:r>
        <w:rPr>
          <w:rFonts w:hint="eastAsia" w:ascii="宋体" w:hAnsi="宋体" w:eastAsia="宋体"/>
          <w:b/>
          <w:color w:val="000000"/>
          <w:spacing w:val="2"/>
          <w:sz w:val="21"/>
          <w:szCs w:val="21"/>
        </w:rPr>
        <w:t xml:space="preserve">乙方：                      </w:t>
      </w:r>
    </w:p>
    <w:p>
      <w:pPr>
        <w:adjustRightInd w:val="0"/>
        <w:snapToGrid w:val="0"/>
        <w:spacing w:line="360" w:lineRule="auto"/>
        <w:ind w:firstLine="480"/>
        <w:rPr>
          <w:rFonts w:ascii="宋体" w:hAnsi="宋体" w:eastAsia="宋体"/>
          <w:color w:val="000000"/>
          <w:spacing w:val="2"/>
          <w:sz w:val="21"/>
          <w:szCs w:val="21"/>
        </w:rPr>
      </w:pPr>
      <w:r>
        <w:rPr>
          <w:rFonts w:hint="eastAsia" w:ascii="宋体" w:hAnsi="宋体" w:eastAsia="宋体"/>
          <w:color w:val="000000"/>
          <w:spacing w:val="2"/>
          <w:sz w:val="21"/>
          <w:szCs w:val="21"/>
        </w:rPr>
        <w:t>经友好协商，甲乙双方根据《中华人民共和国合同法》及相关法律法规，遵循平等、互利、自愿、公平原则，达成如下条款：</w:t>
      </w:r>
    </w:p>
    <w:p>
      <w:pPr>
        <w:adjustRightInd w:val="0"/>
        <w:snapToGrid w:val="0"/>
        <w:spacing w:line="360" w:lineRule="auto"/>
        <w:ind w:firstLine="480"/>
        <w:rPr>
          <w:rFonts w:ascii="宋体" w:hAnsi="宋体" w:eastAsia="宋体"/>
          <w:color w:val="000000"/>
          <w:spacing w:val="2"/>
          <w:sz w:val="21"/>
          <w:szCs w:val="21"/>
        </w:rPr>
      </w:pPr>
      <w:r>
        <w:rPr>
          <w:rFonts w:hint="eastAsia" w:ascii="宋体" w:hAnsi="宋体" w:eastAsia="宋体"/>
          <w:b/>
          <w:bCs/>
          <w:color w:val="000000"/>
          <w:spacing w:val="2"/>
          <w:sz w:val="21"/>
          <w:szCs w:val="21"/>
        </w:rPr>
        <w:t>一、服务内容</w:t>
      </w:r>
    </w:p>
    <w:p>
      <w:pPr>
        <w:adjustRightInd w:val="0"/>
        <w:snapToGrid w:val="0"/>
        <w:spacing w:line="360" w:lineRule="auto"/>
        <w:ind w:firstLine="480"/>
        <w:rPr>
          <w:rFonts w:ascii="宋体" w:hAnsi="宋体" w:eastAsia="宋体"/>
          <w:color w:val="000000"/>
          <w:spacing w:val="2"/>
          <w:sz w:val="21"/>
          <w:szCs w:val="21"/>
        </w:rPr>
      </w:pPr>
      <w:r>
        <w:rPr>
          <w:rFonts w:hint="eastAsia" w:ascii="宋体" w:hAnsi="宋体" w:eastAsia="宋体"/>
          <w:color w:val="000000"/>
          <w:spacing w:val="2"/>
          <w:sz w:val="21"/>
          <w:szCs w:val="21"/>
        </w:rPr>
        <w:t>乙方为甲方在</w:t>
      </w:r>
      <w:r>
        <w:rPr>
          <w:rFonts w:hint="eastAsia" w:ascii="宋体" w:hAnsi="宋体" w:eastAsia="宋体"/>
          <w:color w:val="000000"/>
          <w:spacing w:val="2"/>
          <w:sz w:val="21"/>
          <w:szCs w:val="21"/>
          <w:u w:val="single"/>
        </w:rPr>
        <w:t>_新桥、肥东等68对服务区_</w:t>
      </w:r>
      <w:r>
        <w:rPr>
          <w:rFonts w:hint="eastAsia" w:ascii="宋体" w:hAnsi="宋体" w:eastAsia="宋体"/>
          <w:color w:val="000000"/>
          <w:spacing w:val="2"/>
          <w:sz w:val="21"/>
          <w:szCs w:val="21"/>
        </w:rPr>
        <w:t>提供服务，服务内容包括：</w:t>
      </w:r>
    </w:p>
    <w:p>
      <w:pPr>
        <w:adjustRightInd w:val="0"/>
        <w:snapToGrid w:val="0"/>
        <w:spacing w:line="360" w:lineRule="auto"/>
        <w:ind w:firstLine="480"/>
        <w:rPr>
          <w:rFonts w:ascii="宋体" w:hAnsi="宋体" w:eastAsia="宋体"/>
          <w:color w:val="000000"/>
          <w:spacing w:val="2"/>
          <w:sz w:val="21"/>
          <w:szCs w:val="21"/>
        </w:rPr>
      </w:pPr>
      <w:r>
        <w:rPr>
          <w:rFonts w:hint="eastAsia" w:ascii="宋体" w:hAnsi="宋体" w:eastAsia="宋体"/>
          <w:color w:val="000000"/>
          <w:spacing w:val="2"/>
          <w:sz w:val="21"/>
          <w:szCs w:val="21"/>
        </w:rPr>
        <w:t>1.1 覆盖范围 - 高速服务区内所有区域</w:t>
      </w:r>
    </w:p>
    <w:p>
      <w:pPr>
        <w:adjustRightInd w:val="0"/>
        <w:snapToGrid w:val="0"/>
        <w:spacing w:line="360" w:lineRule="auto"/>
        <w:ind w:firstLine="480"/>
        <w:rPr>
          <w:rFonts w:ascii="宋体" w:hAnsi="宋体" w:eastAsia="宋体"/>
          <w:color w:val="000000"/>
          <w:spacing w:val="2"/>
          <w:sz w:val="21"/>
          <w:szCs w:val="21"/>
        </w:rPr>
      </w:pPr>
      <w:r>
        <w:rPr>
          <w:rFonts w:hint="eastAsia" w:ascii="宋体" w:hAnsi="宋体" w:eastAsia="宋体"/>
          <w:color w:val="000000"/>
          <w:spacing w:val="2"/>
          <w:sz w:val="21"/>
          <w:szCs w:val="21"/>
        </w:rPr>
        <w:t>1.2 防治对象 – 鼠、蟑螂、蚊、蝇</w:t>
      </w:r>
    </w:p>
    <w:p>
      <w:pPr>
        <w:adjustRightInd w:val="0"/>
        <w:snapToGrid w:val="0"/>
        <w:spacing w:line="360" w:lineRule="auto"/>
        <w:ind w:firstLine="480"/>
        <w:rPr>
          <w:rFonts w:ascii="宋体" w:hAnsi="宋体" w:eastAsia="宋体"/>
          <w:color w:val="000000"/>
          <w:spacing w:val="2"/>
          <w:sz w:val="21"/>
          <w:szCs w:val="21"/>
        </w:rPr>
      </w:pPr>
      <w:r>
        <w:rPr>
          <w:rFonts w:hint="eastAsia" w:ascii="宋体" w:hAnsi="宋体" w:eastAsia="宋体"/>
          <w:color w:val="000000"/>
          <w:spacing w:val="2"/>
          <w:sz w:val="21"/>
          <w:szCs w:val="21"/>
        </w:rPr>
        <w:t>1.3 服务周期 - 壹年</w:t>
      </w:r>
    </w:p>
    <w:p>
      <w:pPr>
        <w:adjustRightInd w:val="0"/>
        <w:snapToGrid w:val="0"/>
        <w:spacing w:line="360" w:lineRule="auto"/>
        <w:ind w:firstLine="480"/>
        <w:rPr>
          <w:rFonts w:ascii="宋体" w:hAnsi="宋体" w:eastAsia="宋体"/>
          <w:color w:val="000000"/>
          <w:spacing w:val="2"/>
          <w:sz w:val="21"/>
          <w:szCs w:val="21"/>
        </w:rPr>
      </w:pPr>
      <w:r>
        <w:rPr>
          <w:rFonts w:hint="eastAsia" w:ascii="宋体" w:hAnsi="宋体" w:eastAsia="宋体"/>
          <w:b/>
          <w:bCs/>
          <w:color w:val="000000"/>
          <w:spacing w:val="2"/>
          <w:sz w:val="21"/>
          <w:szCs w:val="21"/>
        </w:rPr>
        <w:t>二、合同期限</w:t>
      </w:r>
    </w:p>
    <w:p>
      <w:pPr>
        <w:adjustRightInd w:val="0"/>
        <w:snapToGrid w:val="0"/>
        <w:spacing w:line="360" w:lineRule="auto"/>
        <w:ind w:firstLine="480"/>
        <w:rPr>
          <w:rFonts w:ascii="宋体" w:hAnsi="宋体" w:eastAsia="宋体"/>
          <w:color w:val="FF0000"/>
          <w:spacing w:val="2"/>
          <w:sz w:val="21"/>
          <w:szCs w:val="21"/>
        </w:rPr>
      </w:pPr>
      <w:r>
        <w:rPr>
          <w:rFonts w:hint="eastAsia" w:ascii="宋体" w:hAnsi="宋体" w:eastAsia="宋体"/>
          <w:color w:val="000000"/>
          <w:spacing w:val="2"/>
          <w:sz w:val="21"/>
          <w:szCs w:val="21"/>
        </w:rPr>
        <w:t>本合同期限即乙方提供服务的期限为</w:t>
      </w:r>
      <w:r>
        <w:rPr>
          <w:rFonts w:hint="eastAsia" w:ascii="宋体" w:hAnsi="宋体" w:eastAsia="宋体"/>
          <w:color w:val="000000"/>
          <w:spacing w:val="2"/>
          <w:sz w:val="21"/>
          <w:szCs w:val="21"/>
          <w:u w:val="single"/>
        </w:rPr>
        <w:t xml:space="preserve">  </w:t>
      </w:r>
      <w:r>
        <w:rPr>
          <w:rFonts w:hint="eastAsia" w:ascii="宋体" w:hAnsi="宋体" w:eastAsia="宋体"/>
          <w:color w:val="000000"/>
          <w:spacing w:val="2"/>
          <w:sz w:val="21"/>
          <w:szCs w:val="21"/>
        </w:rPr>
        <w:t>个月，自</w:t>
      </w:r>
      <w:r>
        <w:rPr>
          <w:rFonts w:ascii="宋体" w:hAnsi="宋体" w:eastAsia="宋体"/>
          <w:color w:val="000000"/>
          <w:spacing w:val="2"/>
          <w:sz w:val="21"/>
          <w:szCs w:val="21"/>
          <w:u w:val="single"/>
        </w:rPr>
        <w:t xml:space="preserve">   </w:t>
      </w:r>
      <w:r>
        <w:rPr>
          <w:rFonts w:hint="eastAsia" w:ascii="宋体" w:hAnsi="宋体" w:eastAsia="宋体"/>
          <w:color w:val="000000"/>
          <w:spacing w:val="2"/>
          <w:sz w:val="21"/>
          <w:szCs w:val="21"/>
        </w:rPr>
        <w:t>年</w:t>
      </w:r>
      <w:r>
        <w:rPr>
          <w:rFonts w:ascii="宋体" w:hAnsi="宋体" w:eastAsia="宋体"/>
          <w:color w:val="000000"/>
          <w:spacing w:val="2"/>
          <w:sz w:val="21"/>
          <w:szCs w:val="21"/>
          <w:u w:val="single"/>
        </w:rPr>
        <w:t xml:space="preserve">   </w:t>
      </w:r>
      <w:r>
        <w:rPr>
          <w:rFonts w:hint="eastAsia" w:ascii="宋体" w:hAnsi="宋体" w:eastAsia="宋体"/>
          <w:color w:val="000000"/>
          <w:spacing w:val="2"/>
          <w:sz w:val="21"/>
          <w:szCs w:val="21"/>
        </w:rPr>
        <w:t>月</w:t>
      </w:r>
      <w:r>
        <w:rPr>
          <w:rFonts w:hint="eastAsia" w:ascii="宋体" w:hAnsi="宋体" w:eastAsia="宋体"/>
          <w:color w:val="000000"/>
          <w:spacing w:val="2"/>
          <w:sz w:val="21"/>
          <w:szCs w:val="21"/>
          <w:u w:val="single"/>
        </w:rPr>
        <w:t xml:space="preserve"> </w:t>
      </w:r>
      <w:r>
        <w:rPr>
          <w:rFonts w:ascii="宋体" w:hAnsi="宋体" w:eastAsia="宋体"/>
          <w:color w:val="000000"/>
          <w:spacing w:val="2"/>
          <w:sz w:val="21"/>
          <w:szCs w:val="21"/>
          <w:u w:val="single"/>
        </w:rPr>
        <w:t xml:space="preserve">  </w:t>
      </w:r>
      <w:r>
        <w:rPr>
          <w:rFonts w:hint="eastAsia" w:ascii="宋体" w:hAnsi="宋体" w:eastAsia="宋体"/>
          <w:color w:val="000000"/>
          <w:spacing w:val="2"/>
          <w:sz w:val="21"/>
          <w:szCs w:val="21"/>
          <w:u w:val="single"/>
        </w:rPr>
        <w:t xml:space="preserve"> </w:t>
      </w:r>
      <w:r>
        <w:rPr>
          <w:rFonts w:hint="eastAsia" w:ascii="宋体" w:hAnsi="宋体" w:eastAsia="宋体"/>
          <w:color w:val="000000"/>
          <w:spacing w:val="2"/>
          <w:sz w:val="21"/>
          <w:szCs w:val="21"/>
        </w:rPr>
        <w:t>日起至</w:t>
      </w:r>
      <w:r>
        <w:rPr>
          <w:rFonts w:hint="eastAsia" w:ascii="宋体" w:hAnsi="宋体" w:eastAsia="宋体"/>
          <w:color w:val="000000"/>
          <w:spacing w:val="2"/>
          <w:sz w:val="21"/>
          <w:szCs w:val="21"/>
          <w:u w:val="single"/>
        </w:rPr>
        <w:t xml:space="preserve">    </w:t>
      </w:r>
      <w:r>
        <w:rPr>
          <w:rFonts w:hint="eastAsia" w:ascii="宋体" w:hAnsi="宋体" w:eastAsia="宋体"/>
          <w:color w:val="000000"/>
          <w:spacing w:val="2"/>
          <w:sz w:val="21"/>
          <w:szCs w:val="21"/>
        </w:rPr>
        <w:t>年</w:t>
      </w:r>
      <w:r>
        <w:rPr>
          <w:rFonts w:ascii="宋体" w:hAnsi="宋体" w:eastAsia="宋体"/>
          <w:color w:val="000000"/>
          <w:spacing w:val="2"/>
          <w:sz w:val="21"/>
          <w:szCs w:val="21"/>
          <w:u w:val="single"/>
        </w:rPr>
        <w:t xml:space="preserve">  </w:t>
      </w:r>
      <w:r>
        <w:rPr>
          <w:rFonts w:hint="eastAsia" w:ascii="宋体" w:hAnsi="宋体" w:eastAsia="宋体"/>
          <w:color w:val="000000"/>
          <w:spacing w:val="2"/>
          <w:sz w:val="21"/>
          <w:szCs w:val="21"/>
        </w:rPr>
        <w:t>月</w:t>
      </w:r>
      <w:r>
        <w:rPr>
          <w:rFonts w:hint="eastAsia" w:ascii="宋体" w:hAnsi="宋体" w:eastAsia="宋体"/>
          <w:color w:val="000000"/>
          <w:spacing w:val="2"/>
          <w:sz w:val="21"/>
          <w:szCs w:val="21"/>
          <w:u w:val="single"/>
        </w:rPr>
        <w:t xml:space="preserve">  </w:t>
      </w:r>
      <w:r>
        <w:rPr>
          <w:rFonts w:hint="eastAsia" w:ascii="宋体" w:hAnsi="宋体" w:eastAsia="宋体"/>
          <w:color w:val="000000"/>
          <w:spacing w:val="2"/>
          <w:sz w:val="21"/>
          <w:szCs w:val="21"/>
        </w:rPr>
        <w:t>日止。</w:t>
      </w:r>
    </w:p>
    <w:p>
      <w:pPr>
        <w:adjustRightInd w:val="0"/>
        <w:snapToGrid w:val="0"/>
        <w:spacing w:line="360" w:lineRule="auto"/>
        <w:ind w:firstLine="480"/>
        <w:rPr>
          <w:rFonts w:ascii="宋体" w:hAnsi="宋体" w:eastAsia="宋体"/>
          <w:color w:val="FF0000"/>
          <w:spacing w:val="2"/>
          <w:sz w:val="21"/>
          <w:szCs w:val="21"/>
        </w:rPr>
      </w:pPr>
      <w:r>
        <w:rPr>
          <w:rFonts w:hint="eastAsia" w:ascii="宋体" w:hAnsi="宋体" w:eastAsia="宋体"/>
          <w:b/>
          <w:bCs/>
          <w:color w:val="000000"/>
          <w:spacing w:val="2"/>
          <w:sz w:val="21"/>
          <w:szCs w:val="21"/>
        </w:rPr>
        <w:t>三、服务费用</w:t>
      </w:r>
    </w:p>
    <w:p>
      <w:pPr>
        <w:adjustRightInd w:val="0"/>
        <w:snapToGrid w:val="0"/>
        <w:spacing w:line="360" w:lineRule="auto"/>
        <w:ind w:firstLine="480"/>
        <w:rPr>
          <w:rFonts w:ascii="宋体" w:hAnsi="宋体" w:eastAsia="宋体"/>
          <w:color w:val="000000"/>
          <w:spacing w:val="2"/>
          <w:sz w:val="21"/>
          <w:szCs w:val="21"/>
        </w:rPr>
      </w:pPr>
      <w:r>
        <w:rPr>
          <w:rFonts w:hint="eastAsia" w:ascii="宋体" w:hAnsi="宋体" w:eastAsia="宋体"/>
          <w:color w:val="000000"/>
          <w:spacing w:val="2"/>
          <w:sz w:val="21"/>
          <w:szCs w:val="21"/>
        </w:rPr>
        <w:t>本合同服务费用总计为人民币</w:t>
      </w:r>
      <w:r>
        <w:rPr>
          <w:rFonts w:hint="eastAsia" w:ascii="宋体" w:hAnsi="宋体" w:eastAsia="宋体"/>
          <w:color w:val="000000"/>
          <w:spacing w:val="2"/>
          <w:sz w:val="21"/>
          <w:szCs w:val="21"/>
          <w:u w:val="single"/>
        </w:rPr>
        <w:t xml:space="preserve"> </w:t>
      </w:r>
      <w:r>
        <w:rPr>
          <w:rFonts w:ascii="宋体" w:hAnsi="宋体" w:eastAsia="宋体"/>
          <w:color w:val="000000"/>
          <w:spacing w:val="2"/>
          <w:sz w:val="21"/>
          <w:szCs w:val="21"/>
          <w:u w:val="single"/>
        </w:rPr>
        <w:t xml:space="preserve">  </w:t>
      </w:r>
      <w:r>
        <w:rPr>
          <w:rFonts w:hint="eastAsia" w:ascii="宋体" w:hAnsi="宋体" w:eastAsia="宋体"/>
          <w:color w:val="000000"/>
          <w:spacing w:val="2"/>
          <w:sz w:val="21"/>
          <w:szCs w:val="21"/>
          <w:u w:val="single"/>
        </w:rPr>
        <w:t xml:space="preserve"> </w:t>
      </w:r>
      <w:r>
        <w:rPr>
          <w:rFonts w:hint="eastAsia" w:ascii="宋体" w:hAnsi="宋体" w:eastAsia="宋体"/>
          <w:color w:val="000000"/>
          <w:spacing w:val="2"/>
          <w:sz w:val="21"/>
          <w:szCs w:val="21"/>
        </w:rPr>
        <w:t>元（RMB：大写</w:t>
      </w:r>
      <w:r>
        <w:rPr>
          <w:rFonts w:ascii="宋体" w:hAnsi="宋体" w:eastAsia="宋体"/>
          <w:color w:val="000000"/>
          <w:spacing w:val="2"/>
          <w:sz w:val="21"/>
          <w:szCs w:val="21"/>
          <w:u w:val="single"/>
        </w:rPr>
        <w:t xml:space="preserve"> </w:t>
      </w:r>
      <w:r>
        <w:rPr>
          <w:rFonts w:hint="eastAsia" w:ascii="宋体" w:hAnsi="宋体" w:eastAsia="宋体"/>
          <w:color w:val="000000"/>
          <w:spacing w:val="2"/>
          <w:sz w:val="21"/>
          <w:szCs w:val="21"/>
          <w:u w:val="single"/>
        </w:rPr>
        <w:t xml:space="preserve"> </w:t>
      </w:r>
      <w:r>
        <w:rPr>
          <w:rFonts w:ascii="宋体" w:hAnsi="宋体" w:eastAsia="宋体"/>
          <w:color w:val="000000"/>
          <w:spacing w:val="2"/>
          <w:sz w:val="21"/>
          <w:szCs w:val="21"/>
          <w:u w:val="single"/>
        </w:rPr>
        <w:t xml:space="preserve">  </w:t>
      </w:r>
      <w:r>
        <w:rPr>
          <w:rFonts w:hint="eastAsia" w:ascii="宋体" w:hAnsi="宋体" w:eastAsia="宋体"/>
          <w:color w:val="000000"/>
          <w:spacing w:val="2"/>
          <w:sz w:val="21"/>
          <w:szCs w:val="21"/>
        </w:rPr>
        <w:t xml:space="preserve"> </w:t>
      </w:r>
      <w:r>
        <w:rPr>
          <w:rFonts w:ascii="宋体" w:hAnsi="宋体" w:eastAsia="宋体"/>
          <w:color w:val="000000"/>
          <w:spacing w:val="2"/>
          <w:sz w:val="21"/>
          <w:szCs w:val="21"/>
        </w:rPr>
        <w:t xml:space="preserve"> </w:t>
      </w:r>
      <w:r>
        <w:rPr>
          <w:rFonts w:hint="eastAsia" w:ascii="宋体" w:hAnsi="宋体" w:eastAsia="宋体"/>
          <w:color w:val="000000"/>
          <w:spacing w:val="2"/>
          <w:sz w:val="21"/>
          <w:szCs w:val="21"/>
        </w:rPr>
        <w:t>）；单对服务区服务费用为人民币</w:t>
      </w:r>
      <w:r>
        <w:rPr>
          <w:rFonts w:ascii="宋体" w:hAnsi="宋体" w:eastAsia="宋体"/>
          <w:color w:val="000000"/>
          <w:spacing w:val="2"/>
          <w:sz w:val="21"/>
          <w:szCs w:val="21"/>
          <w:u w:val="single"/>
        </w:rPr>
        <w:t xml:space="preserve">     </w:t>
      </w:r>
      <w:r>
        <w:rPr>
          <w:rFonts w:hint="eastAsia" w:ascii="宋体" w:hAnsi="宋体" w:eastAsia="宋体"/>
          <w:color w:val="000000"/>
          <w:spacing w:val="2"/>
          <w:sz w:val="21"/>
          <w:szCs w:val="21"/>
        </w:rPr>
        <w:t>元（RMB：大写</w:t>
      </w:r>
      <w:r>
        <w:rPr>
          <w:rFonts w:hint="eastAsia" w:ascii="宋体" w:hAnsi="宋体" w:eastAsia="宋体"/>
          <w:color w:val="000000"/>
          <w:spacing w:val="2"/>
          <w:sz w:val="21"/>
          <w:szCs w:val="21"/>
          <w:u w:val="single"/>
        </w:rPr>
        <w:t xml:space="preserve"> </w:t>
      </w:r>
      <w:r>
        <w:rPr>
          <w:rFonts w:ascii="宋体" w:hAnsi="宋体" w:eastAsia="宋体"/>
          <w:color w:val="000000"/>
          <w:spacing w:val="2"/>
          <w:sz w:val="21"/>
          <w:szCs w:val="21"/>
          <w:u w:val="single"/>
        </w:rPr>
        <w:t xml:space="preserve">     </w:t>
      </w:r>
      <w:r>
        <w:rPr>
          <w:rFonts w:hint="eastAsia" w:ascii="宋体" w:hAnsi="宋体" w:eastAsia="宋体"/>
          <w:color w:val="000000"/>
          <w:spacing w:val="2"/>
          <w:sz w:val="21"/>
          <w:szCs w:val="21"/>
        </w:rPr>
        <w:t>）。</w:t>
      </w:r>
    </w:p>
    <w:p>
      <w:pPr>
        <w:adjustRightInd w:val="0"/>
        <w:snapToGrid w:val="0"/>
        <w:spacing w:line="360" w:lineRule="auto"/>
        <w:ind w:firstLine="480"/>
        <w:rPr>
          <w:rFonts w:ascii="宋体" w:hAnsi="宋体" w:eastAsia="宋体"/>
          <w:b/>
          <w:bCs/>
          <w:color w:val="000000"/>
          <w:spacing w:val="2"/>
          <w:sz w:val="21"/>
          <w:szCs w:val="21"/>
        </w:rPr>
      </w:pPr>
      <w:r>
        <w:rPr>
          <w:rFonts w:hint="eastAsia" w:ascii="宋体" w:hAnsi="宋体" w:eastAsia="宋体"/>
          <w:b/>
          <w:bCs/>
          <w:color w:val="000000"/>
          <w:spacing w:val="2"/>
          <w:sz w:val="21"/>
          <w:szCs w:val="21"/>
        </w:rPr>
        <w:t>四、甲方责任</w:t>
      </w:r>
    </w:p>
    <w:p>
      <w:pPr>
        <w:adjustRightInd w:val="0"/>
        <w:snapToGrid w:val="0"/>
        <w:spacing w:line="360" w:lineRule="auto"/>
        <w:ind w:firstLine="428" w:firstLineChars="200"/>
        <w:rPr>
          <w:rFonts w:ascii="宋体" w:hAnsi="宋体" w:eastAsia="宋体"/>
          <w:color w:val="000000"/>
          <w:sz w:val="21"/>
          <w:szCs w:val="21"/>
        </w:rPr>
      </w:pPr>
      <w:r>
        <w:rPr>
          <w:rFonts w:hint="eastAsia" w:ascii="宋体" w:hAnsi="宋体" w:eastAsia="宋体"/>
          <w:color w:val="000000"/>
          <w:spacing w:val="2"/>
          <w:sz w:val="21"/>
          <w:szCs w:val="21"/>
        </w:rPr>
        <w:t>4.1</w:t>
      </w:r>
      <w:r>
        <w:rPr>
          <w:rFonts w:hint="eastAsia" w:ascii="宋体" w:hAnsi="宋体" w:eastAsia="宋体"/>
          <w:color w:val="000000"/>
          <w:sz w:val="21"/>
          <w:szCs w:val="21"/>
        </w:rPr>
        <w:t>在承包期内应积极配合乙方的工作。乙方作业人员每次服务时应派相关人员陪同，作业完毕后在乙方施工服务记录上签字认可。</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4.2 在需要服务的场所提供乙方所要求的必要设施（如：电源、水源等）。</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4.3负责本单位范围内的环境卫生的清扫，以及有害生物滋生地卫生的整治，并及时清理其痕迹。</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4.4 负责为乙方作业人员提供临时性存放药械及休息场所。</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五、乙方责任</w:t>
      </w:r>
    </w:p>
    <w:p>
      <w:pPr>
        <w:adjustRightInd w:val="0"/>
        <w:snapToGrid w:val="0"/>
        <w:spacing w:line="360" w:lineRule="auto"/>
        <w:ind w:firstLine="420" w:firstLineChars="200"/>
        <w:rPr>
          <w:rFonts w:ascii="宋体" w:hAnsi="宋体" w:eastAsia="宋体"/>
          <w:color w:val="000000"/>
          <w:sz w:val="21"/>
          <w:szCs w:val="21"/>
        </w:rPr>
      </w:pPr>
      <w:r>
        <w:rPr>
          <w:rFonts w:ascii="宋体" w:hAnsi="宋体" w:eastAsia="宋体"/>
          <w:color w:val="000000"/>
          <w:sz w:val="21"/>
          <w:szCs w:val="21"/>
        </w:rPr>
        <w:t>5.1</w:t>
      </w:r>
      <w:r>
        <w:rPr>
          <w:rFonts w:hint="eastAsia" w:ascii="宋体" w:hAnsi="宋体" w:eastAsia="宋体"/>
          <w:color w:val="000000"/>
          <w:sz w:val="21"/>
          <w:szCs w:val="21"/>
        </w:rPr>
        <w:t>乙方作业人员需经过专业培训，无对四害消杀专用药物过敏现象。若乙方作业人员在出现不良症状乙方自行承担责任，甲方概不负责。</w:t>
      </w:r>
    </w:p>
    <w:p>
      <w:pPr>
        <w:adjustRightInd w:val="0"/>
        <w:snapToGrid w:val="0"/>
        <w:spacing w:line="360" w:lineRule="auto"/>
        <w:ind w:firstLine="420" w:firstLineChars="200"/>
        <w:rPr>
          <w:rFonts w:ascii="宋体" w:hAnsi="宋体" w:eastAsia="宋体"/>
          <w:color w:val="000000"/>
          <w:sz w:val="21"/>
          <w:szCs w:val="21"/>
        </w:rPr>
      </w:pPr>
      <w:r>
        <w:rPr>
          <w:rFonts w:ascii="宋体" w:hAnsi="宋体" w:eastAsia="宋体"/>
          <w:color w:val="000000"/>
          <w:sz w:val="21"/>
          <w:szCs w:val="21"/>
        </w:rPr>
        <w:t>5.2</w:t>
      </w:r>
      <w:r>
        <w:rPr>
          <w:rFonts w:hint="eastAsia" w:ascii="宋体" w:hAnsi="宋体" w:eastAsia="宋体"/>
          <w:color w:val="000000"/>
          <w:sz w:val="21"/>
          <w:szCs w:val="21"/>
        </w:rPr>
        <w:t>乙方在甲方场区所投入的四害消杀药物要使用规范、摆放合理等。若因以上原因药物被人误食，所出现的后果属乙方责任。</w:t>
      </w:r>
    </w:p>
    <w:p>
      <w:pPr>
        <w:adjustRightInd w:val="0"/>
        <w:snapToGrid w:val="0"/>
        <w:spacing w:line="360" w:lineRule="auto"/>
        <w:ind w:firstLine="420" w:firstLineChars="200"/>
        <w:rPr>
          <w:rFonts w:ascii="宋体" w:hAnsi="宋体" w:eastAsia="宋体"/>
          <w:color w:val="000000"/>
          <w:sz w:val="21"/>
          <w:szCs w:val="21"/>
        </w:rPr>
      </w:pPr>
      <w:r>
        <w:rPr>
          <w:rFonts w:ascii="宋体" w:hAnsi="宋体" w:eastAsia="宋体"/>
          <w:color w:val="000000"/>
          <w:sz w:val="21"/>
          <w:szCs w:val="21"/>
        </w:rPr>
        <w:t>5.3</w:t>
      </w:r>
      <w:r>
        <w:rPr>
          <w:rFonts w:hint="eastAsia" w:ascii="宋体" w:hAnsi="宋体" w:eastAsia="宋体"/>
          <w:color w:val="000000"/>
          <w:sz w:val="21"/>
          <w:szCs w:val="21"/>
        </w:rPr>
        <w:t>乙方应做好四害消杀药物的规范使用与摆放，若因乙方责任</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5.4首期施工三个月后，所负责的防制项目密度达到国家规定的标准之内。</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5.5防制作业人员要遵守甲方相关的管理规定，严格按《施工作业行为规范》和《施工作业技术规范》的要求操作，并及时与服务区负责人沟通。填写施工作记录，作为每次服务的依据，跟踪人员签字。</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5.6 有责任建议和指导甲方建设有害生物防制的设施，做好日常有害生物防制的巩固工作。</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5.7 做到服务到位，保证服务质量，向甲方宣传、解释防制害虫的相关知识。</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5.8在提供服务时，应使用在中国农业管理部门注册的杀虫剂。</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5.9所有使用药物必须是中国农业管理部门注册的杀虫剂，对人、畜、禽无毒。</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5.10在收到甲方的紧急需求后，乙方在24小时内到服务地点开展应急服务，费用由乙方承当。</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六、付款</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服务费用按季度结算（</w:t>
      </w:r>
      <w:r>
        <w:rPr>
          <w:rFonts w:ascii="宋体" w:hAnsi="宋体" w:eastAsia="宋体"/>
          <w:color w:val="000000"/>
          <w:sz w:val="21"/>
          <w:szCs w:val="21"/>
        </w:rPr>
        <w:t xml:space="preserve">    </w:t>
      </w:r>
      <w:r>
        <w:rPr>
          <w:rFonts w:hint="eastAsia" w:ascii="宋体" w:hAnsi="宋体" w:eastAsia="宋体"/>
          <w:color w:val="000000"/>
          <w:sz w:val="21"/>
          <w:szCs w:val="21"/>
        </w:rPr>
        <w:t>元/季度）。每季度结束，经甲方所辖参与除四害项目服务区验收合格且乙方提供增值税发票后，30日内甲方所辖参与除四害项目服务区支付各自单位上一季度服务费用，执行单对服务区服务费用。</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七、关于健康和安全</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7.1 乙方在提供服务过程中及服务过后，应就所服务场所提出有关健康和安全方面的意见。</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7.2 甲方应向乙方及其员工提醒在甲方场所工作时可能遇到的危险。</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八、相关责任的特别约定</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8.1 在提供服务期间，乙方应为因乙方服务实施时违反《服务操作流程》导致给甲方造成的人身伤害或死亡或给甲方财产造成的直接损害承担相应责任。</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8.2 只有在甲方一个月内发现有关事故发生的，应以书面形式通知乙方该事故的发生，以便乙方能够辨明和调查该事故，甲方有权对乙方提出申诉。逾期未通知乙方的，视为甲方对乙方提供的服务没有异议。</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九、合同的终止</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有下列情况之一的，任何一方有权立即终止本合同：</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9.1对方没有遵从和履行本合同中的重要规定，而在发出书面通知后十天内没有进行补救；</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9.2 对方宣告破产；</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9.3 若经甲方二次书面通知整改，乙方的消杀工作仍达不到规定标准，甲方有权终止合同。</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9.4本合同列明的其它原因。</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十、不可抗力</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10.1 不可抗力，指不能预见、不能避免并不能克服的事件。包括自然灾害，如台风、地震、洪水、冰雹等；政府行为，如征收、征用等；社会异常事件，如罢工、骚乱等。</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10.2 由于不可抗力事件的发生致使本合同不能履行，任何一方均可免除责任。</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10.3 在发生不可抗力事件时，各方应向对方咨询相关意见，以寻求公平合理的解决办法，减少不可抗力的影响。若因不可抗力使本合同的履行拖延十四（14）天，乙方可在向甲方发出不少于七（7）天的通知届满后终止本合同。</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十一、保密</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甲方和乙方现各自向对方承诺：</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11.1 对属于对方的机密资料予以严格保密。</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11.2 以对待自己的机密资料的谨慎程度，处理对方的机密资料。</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11.3 在未征得对方事先书面同意的情况下，不得向其他人士，全部或部分披露属于对方的机密资料。</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11.4 只在与甲乙双方有关的情况下，使用属于对方的机密资料，不得在本合同有效期间或其后的时间，使用机密资料，令自己或其他第三方获益。</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十二、合同的转让</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任何一方在未得到对方的书面同意前，不得转让本合同。</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十三、管辖法律</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本合同及相关事宜将受中华人民共和国法律管辖。</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十四、争议的解决</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因本合同引起的相关争议，双方应友好协商解决，协商不成时，向甲方所在对人民法院起诉。</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十五、其他</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15.1 本合同经双方签字盖章后生效。</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15.2 本合同附件为本合同的一部分，与本合同具有同等法律效力。</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15.3 本合同未尽事宜，双方可另行协商并签定补充协议。</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15.4 本合同壹式肆份，双方各执贰份，具有同等法律效力。</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十六、相关定义</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16.1 机密资料，指一方因签订或履行本合同时，所取得或知悉有关对方的业务或事务的资料（不论是以书面、口头或以电子版方式记载的）；</w:t>
      </w:r>
    </w:p>
    <w:p>
      <w:pPr>
        <w:adjustRightInd w:val="0"/>
        <w:snapToGrid w:val="0"/>
        <w:spacing w:line="360" w:lineRule="auto"/>
        <w:ind w:firstLine="420" w:firstLineChars="200"/>
        <w:rPr>
          <w:rFonts w:ascii="宋体" w:hAnsi="宋体" w:eastAsia="宋体"/>
          <w:color w:val="000000"/>
          <w:sz w:val="21"/>
          <w:szCs w:val="21"/>
        </w:rPr>
      </w:pPr>
      <w:r>
        <w:rPr>
          <w:rFonts w:hint="eastAsia" w:ascii="宋体" w:hAnsi="宋体" w:eastAsia="宋体"/>
          <w:color w:val="000000"/>
          <w:sz w:val="21"/>
          <w:szCs w:val="21"/>
        </w:rPr>
        <w:t>16.2 服务指详列于本合同内，由乙方向甲方提供的服务。</w:t>
      </w:r>
    </w:p>
    <w:p>
      <w:pPr>
        <w:adjustRightInd w:val="0"/>
        <w:snapToGrid w:val="0"/>
        <w:spacing w:line="360" w:lineRule="auto"/>
        <w:ind w:firstLine="420" w:firstLineChars="200"/>
        <w:rPr>
          <w:rFonts w:ascii="宋体" w:hAnsi="宋体" w:eastAsia="宋体"/>
          <w:color w:val="000000"/>
          <w:sz w:val="21"/>
          <w:szCs w:val="21"/>
        </w:rPr>
      </w:pPr>
    </w:p>
    <w:p>
      <w:pPr>
        <w:adjustRightInd w:val="0"/>
        <w:snapToGrid w:val="0"/>
        <w:spacing w:line="360" w:lineRule="auto"/>
        <w:rPr>
          <w:rFonts w:ascii="宋体" w:hAnsi="宋体" w:eastAsia="宋体"/>
          <w:bCs/>
          <w:color w:val="000000"/>
          <w:spacing w:val="2"/>
          <w:sz w:val="21"/>
          <w:szCs w:val="21"/>
        </w:rPr>
      </w:pPr>
    </w:p>
    <w:p>
      <w:pPr>
        <w:adjustRightInd w:val="0"/>
        <w:snapToGrid w:val="0"/>
        <w:spacing w:line="360" w:lineRule="auto"/>
        <w:rPr>
          <w:rFonts w:ascii="宋体" w:hAnsi="宋体" w:eastAsia="宋体"/>
          <w:bCs/>
          <w:color w:val="000000"/>
          <w:spacing w:val="2"/>
          <w:sz w:val="21"/>
          <w:szCs w:val="21"/>
        </w:rPr>
      </w:pPr>
    </w:p>
    <w:p>
      <w:pPr>
        <w:adjustRightInd w:val="0"/>
        <w:snapToGrid w:val="0"/>
        <w:spacing w:line="360" w:lineRule="auto"/>
        <w:rPr>
          <w:rFonts w:ascii="宋体" w:hAnsi="宋体" w:eastAsia="宋体"/>
          <w:bCs/>
          <w:color w:val="000000"/>
          <w:spacing w:val="2"/>
          <w:sz w:val="21"/>
          <w:szCs w:val="21"/>
        </w:rPr>
      </w:pPr>
    </w:p>
    <w:p>
      <w:pPr>
        <w:adjustRightInd w:val="0"/>
        <w:snapToGrid w:val="0"/>
        <w:spacing w:line="360" w:lineRule="auto"/>
        <w:rPr>
          <w:rFonts w:ascii="宋体" w:hAnsi="宋体" w:eastAsia="宋体"/>
          <w:bCs/>
          <w:color w:val="000000"/>
          <w:spacing w:val="2"/>
          <w:sz w:val="21"/>
          <w:szCs w:val="21"/>
        </w:rPr>
      </w:pPr>
      <w:r>
        <w:rPr>
          <w:rFonts w:hint="eastAsia" w:ascii="宋体" w:hAnsi="宋体" w:eastAsia="宋体"/>
          <w:bCs/>
          <w:color w:val="000000"/>
          <w:spacing w:val="2"/>
          <w:sz w:val="21"/>
          <w:szCs w:val="21"/>
        </w:rPr>
        <w:t>甲方（盖章）：                                乙方（盖章）：</w:t>
      </w:r>
      <w:r>
        <w:rPr>
          <w:rFonts w:hint="eastAsia" w:ascii="宋体" w:hAnsi="宋体" w:eastAsia="宋体"/>
          <w:b/>
          <w:color w:val="000000"/>
          <w:spacing w:val="2"/>
          <w:sz w:val="21"/>
          <w:szCs w:val="21"/>
        </w:rPr>
        <w:t xml:space="preserve"> </w:t>
      </w:r>
    </w:p>
    <w:p>
      <w:pPr>
        <w:adjustRightInd w:val="0"/>
        <w:snapToGrid w:val="0"/>
        <w:spacing w:line="360" w:lineRule="auto"/>
        <w:rPr>
          <w:rFonts w:ascii="宋体" w:hAnsi="宋体" w:eastAsia="宋体"/>
          <w:bCs/>
          <w:color w:val="000000"/>
          <w:spacing w:val="2"/>
          <w:sz w:val="21"/>
          <w:szCs w:val="21"/>
        </w:rPr>
      </w:pPr>
      <w:r>
        <w:rPr>
          <w:rFonts w:hint="eastAsia" w:ascii="宋体" w:hAnsi="宋体" w:eastAsia="宋体"/>
          <w:bCs/>
          <w:color w:val="000000"/>
          <w:spacing w:val="2"/>
          <w:sz w:val="21"/>
          <w:szCs w:val="21"/>
        </w:rPr>
        <w:t xml:space="preserve">代表人（签字）：            </w:t>
      </w:r>
      <w:r>
        <w:rPr>
          <w:rFonts w:ascii="宋体" w:hAnsi="宋体" w:eastAsia="宋体"/>
          <w:bCs/>
          <w:color w:val="000000"/>
          <w:spacing w:val="2"/>
          <w:sz w:val="21"/>
          <w:szCs w:val="21"/>
        </w:rPr>
        <w:t xml:space="preserve">                </w:t>
      </w:r>
      <w:r>
        <w:rPr>
          <w:rFonts w:hint="eastAsia" w:ascii="宋体" w:hAnsi="宋体" w:eastAsia="宋体"/>
          <w:bCs/>
          <w:color w:val="000000"/>
          <w:spacing w:val="2"/>
          <w:sz w:val="21"/>
          <w:szCs w:val="21"/>
        </w:rPr>
        <w:t xml:space="preserve">  代表人（签字）：  </w:t>
      </w:r>
    </w:p>
    <w:p>
      <w:pPr>
        <w:adjustRightInd w:val="0"/>
        <w:snapToGrid w:val="0"/>
        <w:spacing w:line="360" w:lineRule="auto"/>
        <w:rPr>
          <w:rFonts w:ascii="宋体" w:hAnsi="宋体" w:eastAsia="宋体"/>
          <w:bCs/>
          <w:color w:val="000000"/>
          <w:spacing w:val="2"/>
          <w:sz w:val="21"/>
          <w:szCs w:val="21"/>
        </w:rPr>
      </w:pPr>
      <w:r>
        <w:rPr>
          <w:rFonts w:hint="eastAsia" w:ascii="宋体" w:hAnsi="宋体" w:eastAsia="宋体"/>
          <w:bCs/>
          <w:color w:val="000000"/>
          <w:spacing w:val="2"/>
          <w:sz w:val="21"/>
          <w:szCs w:val="21"/>
        </w:rPr>
        <w:t xml:space="preserve">                                          </w:t>
      </w:r>
    </w:p>
    <w:p>
      <w:pPr>
        <w:adjustRightInd w:val="0"/>
        <w:snapToGrid w:val="0"/>
        <w:spacing w:line="360" w:lineRule="auto"/>
        <w:rPr>
          <w:rFonts w:ascii="宋体" w:hAnsi="宋体" w:eastAsia="宋体"/>
          <w:bCs/>
          <w:color w:val="000000"/>
          <w:spacing w:val="2"/>
          <w:sz w:val="21"/>
          <w:szCs w:val="21"/>
        </w:rPr>
      </w:pPr>
      <w:r>
        <w:rPr>
          <w:rFonts w:hint="eastAsia" w:ascii="宋体" w:hAnsi="宋体" w:eastAsia="宋体"/>
          <w:bCs/>
          <w:color w:val="000000"/>
          <w:spacing w:val="2"/>
          <w:sz w:val="21"/>
          <w:szCs w:val="21"/>
        </w:rPr>
        <w:t>年    月   日                                年    月   日</w:t>
      </w:r>
    </w:p>
    <w:p>
      <w:pPr>
        <w:tabs>
          <w:tab w:val="left" w:pos="4080"/>
        </w:tabs>
        <w:rPr>
          <w:rFonts w:ascii="宋体" w:hAnsi="宋体" w:eastAsia="宋体"/>
          <w:bCs/>
          <w:color w:val="000000"/>
          <w:spacing w:val="2"/>
          <w:sz w:val="21"/>
          <w:szCs w:val="21"/>
        </w:rPr>
      </w:pPr>
    </w:p>
    <w:p>
      <w:pPr>
        <w:tabs>
          <w:tab w:val="left" w:pos="4080"/>
        </w:tabs>
        <w:rPr>
          <w:rFonts w:ascii="宋体" w:hAnsi="宋体" w:eastAsia="宋体"/>
          <w:bCs/>
          <w:color w:val="000000"/>
          <w:spacing w:val="2"/>
          <w:sz w:val="21"/>
          <w:szCs w:val="21"/>
        </w:rPr>
      </w:pPr>
    </w:p>
    <w:p>
      <w:pPr>
        <w:tabs>
          <w:tab w:val="left" w:pos="4080"/>
        </w:tabs>
        <w:rPr>
          <w:rFonts w:ascii="宋体" w:hAnsi="宋体" w:eastAsia="宋体"/>
          <w:bCs/>
          <w:color w:val="000000"/>
          <w:spacing w:val="2"/>
          <w:sz w:val="21"/>
          <w:szCs w:val="21"/>
        </w:rPr>
      </w:pPr>
    </w:p>
    <w:p>
      <w:pPr>
        <w:tabs>
          <w:tab w:val="left" w:pos="4080"/>
        </w:tabs>
        <w:rPr>
          <w:rFonts w:ascii="宋体" w:hAnsi="宋体" w:eastAsia="宋体"/>
          <w:bCs/>
          <w:color w:val="000000"/>
          <w:spacing w:val="2"/>
          <w:sz w:val="21"/>
          <w:szCs w:val="21"/>
        </w:rPr>
      </w:pPr>
    </w:p>
    <w:p>
      <w:pPr>
        <w:tabs>
          <w:tab w:val="left" w:pos="4080"/>
        </w:tabs>
        <w:rPr>
          <w:rFonts w:ascii="宋体" w:hAnsi="宋体" w:eastAsia="宋体"/>
          <w:bCs/>
          <w:color w:val="000000"/>
          <w:spacing w:val="2"/>
          <w:sz w:val="21"/>
          <w:szCs w:val="21"/>
        </w:rPr>
      </w:pPr>
    </w:p>
    <w:p>
      <w:pPr>
        <w:tabs>
          <w:tab w:val="left" w:pos="4080"/>
        </w:tabs>
        <w:rPr>
          <w:rFonts w:ascii="宋体" w:hAnsi="宋体" w:eastAsia="宋体"/>
          <w:bCs/>
          <w:color w:val="000000"/>
          <w:spacing w:val="2"/>
          <w:sz w:val="21"/>
          <w:szCs w:val="21"/>
        </w:rPr>
      </w:pPr>
    </w:p>
    <w:p>
      <w:pPr>
        <w:tabs>
          <w:tab w:val="left" w:pos="4080"/>
        </w:tabs>
        <w:rPr>
          <w:rFonts w:ascii="宋体" w:hAnsi="宋体" w:eastAsia="宋体" w:cs="宋体"/>
          <w:b/>
          <w:kern w:val="0"/>
          <w:sz w:val="21"/>
          <w:szCs w:val="21"/>
        </w:rPr>
      </w:pPr>
    </w:p>
    <w:p>
      <w:pPr>
        <w:spacing w:line="400" w:lineRule="exact"/>
        <w:jc w:val="center"/>
        <w:rPr>
          <w:rFonts w:ascii="宋体" w:hAnsi="宋体" w:eastAsia="宋体"/>
          <w:b/>
          <w:sz w:val="28"/>
          <w:szCs w:val="28"/>
        </w:rPr>
      </w:pPr>
    </w:p>
    <w:p>
      <w:pPr>
        <w:spacing w:line="400" w:lineRule="exact"/>
        <w:jc w:val="center"/>
        <w:rPr>
          <w:rFonts w:ascii="宋体" w:hAnsi="宋体" w:eastAsia="宋体"/>
          <w:b/>
          <w:sz w:val="28"/>
          <w:szCs w:val="28"/>
        </w:rPr>
      </w:pPr>
    </w:p>
    <w:p>
      <w:pPr>
        <w:keepNext/>
        <w:keepLines/>
        <w:spacing w:before="260" w:after="260" w:line="416" w:lineRule="auto"/>
        <w:jc w:val="center"/>
        <w:outlineLvl w:val="2"/>
        <w:rPr>
          <w:rFonts w:ascii="宋体" w:hAnsi="宋体" w:eastAsia="宋体"/>
          <w:bCs/>
          <w:sz w:val="28"/>
        </w:rPr>
      </w:pPr>
      <w:r>
        <w:rPr>
          <w:rFonts w:hint="eastAsia" w:ascii="宋体" w:hAnsi="宋体" w:eastAsia="宋体"/>
          <w:bCs/>
          <w:sz w:val="28"/>
        </w:rPr>
        <w:t>附件二：履约保证金格式</w:t>
      </w:r>
    </w:p>
    <w:p>
      <w:pPr>
        <w:adjustRightInd w:val="0"/>
        <w:snapToGrid w:val="0"/>
        <w:spacing w:line="300" w:lineRule="auto"/>
        <w:jc w:val="left"/>
        <w:rPr>
          <w:rFonts w:ascii="宋体" w:hAnsi="宋体" w:eastAsia="宋体" w:cs="宋体"/>
          <w:sz w:val="22"/>
          <w:szCs w:val="22"/>
        </w:rPr>
      </w:pPr>
      <w:r>
        <w:rPr>
          <w:rFonts w:hint="eastAsia" w:ascii="宋体" w:hAnsi="宋体" w:eastAsia="宋体" w:cs="宋体"/>
          <w:sz w:val="22"/>
          <w:szCs w:val="22"/>
        </w:rPr>
        <w:t>如采用银行保函，格式如下。</w:t>
      </w:r>
    </w:p>
    <w:p>
      <w:pPr>
        <w:adjustRightInd w:val="0"/>
        <w:snapToGrid w:val="0"/>
        <w:spacing w:line="300" w:lineRule="auto"/>
        <w:jc w:val="center"/>
        <w:rPr>
          <w:rFonts w:ascii="宋体" w:hAnsi="宋体" w:eastAsia="宋体" w:cs="宋体"/>
          <w:sz w:val="22"/>
          <w:szCs w:val="22"/>
        </w:rPr>
      </w:pPr>
      <w:r>
        <w:rPr>
          <w:rFonts w:hint="eastAsia" w:ascii="宋体" w:hAnsi="宋体" w:eastAsia="宋体" w:cs="宋体"/>
          <w:sz w:val="22"/>
          <w:szCs w:val="22"/>
        </w:rPr>
        <w:t>履约保证金</w:t>
      </w:r>
    </w:p>
    <w:p>
      <w:pPr>
        <w:adjustRightInd w:val="0"/>
        <w:snapToGrid w:val="0"/>
        <w:spacing w:line="300" w:lineRule="auto"/>
        <w:ind w:firstLine="440" w:firstLineChars="200"/>
        <w:jc w:val="left"/>
        <w:rPr>
          <w:rFonts w:ascii="宋体" w:hAnsi="宋体" w:eastAsia="宋体" w:cs="宋体"/>
          <w:sz w:val="22"/>
          <w:szCs w:val="22"/>
        </w:rPr>
      </w:pPr>
      <w:bookmarkStart w:id="17" w:name="page71"/>
      <w:bookmarkEnd w:id="17"/>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u w:val="single"/>
        </w:rPr>
        <w:t xml:space="preserve">                   </w:t>
      </w:r>
      <w:r>
        <w:rPr>
          <w:rFonts w:hint="eastAsia" w:ascii="宋体" w:hAnsi="宋体" w:eastAsia="宋体" w:cs="宋体"/>
          <w:sz w:val="22"/>
          <w:szCs w:val="22"/>
        </w:rPr>
        <w:t>（买方名称）：</w:t>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鉴于</w:t>
      </w:r>
      <w:r>
        <w:rPr>
          <w:rFonts w:hint="eastAsia" w:ascii="宋体" w:hAnsi="宋体" w:eastAsia="宋体" w:cs="宋体"/>
          <w:sz w:val="22"/>
          <w:szCs w:val="22"/>
          <w:u w:val="single"/>
        </w:rPr>
        <w:t xml:space="preserve">                   </w:t>
      </w:r>
      <w:r>
        <w:rPr>
          <w:rFonts w:hint="eastAsia" w:ascii="宋体" w:hAnsi="宋体" w:eastAsia="宋体" w:cs="宋体"/>
          <w:sz w:val="22"/>
          <w:szCs w:val="22"/>
        </w:rPr>
        <w:t>（买方名称，以下简称“买方”）接受</w:t>
      </w:r>
      <w:r>
        <w:rPr>
          <w:rFonts w:hint="eastAsia" w:ascii="宋体" w:hAnsi="宋体" w:eastAsia="宋体" w:cs="宋体"/>
          <w:sz w:val="22"/>
          <w:szCs w:val="22"/>
          <w:u w:val="single"/>
        </w:rPr>
        <w:t xml:space="preserve">                   </w:t>
      </w:r>
      <w:r>
        <w:rPr>
          <w:rFonts w:hint="eastAsia" w:ascii="宋体" w:hAnsi="宋体" w:eastAsia="宋体" w:cs="宋体"/>
          <w:sz w:val="22"/>
          <w:szCs w:val="22"/>
        </w:rPr>
        <w:t>（卖方名称，以下称“卖方”）于</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日参加</w:t>
      </w:r>
      <w:r>
        <w:rPr>
          <w:rFonts w:hint="eastAsia" w:ascii="宋体" w:hAnsi="宋体" w:eastAsia="宋体" w:cs="宋体"/>
          <w:sz w:val="22"/>
          <w:szCs w:val="22"/>
          <w:u w:val="single"/>
        </w:rPr>
        <w:t xml:space="preserve">                   </w:t>
      </w:r>
      <w:r>
        <w:rPr>
          <w:rFonts w:hint="eastAsia" w:ascii="宋体" w:hAnsi="宋体" w:eastAsia="宋体" w:cs="宋体"/>
          <w:sz w:val="22"/>
          <w:szCs w:val="22"/>
        </w:rPr>
        <w:t>（项目名称）设备采购项目的投标。我方愿意无条件地、不可撤销地就卖方履行与你方订立的合同，向你方提供担保。</w:t>
      </w:r>
      <w:r>
        <w:rPr>
          <w:rFonts w:hint="eastAsia" w:ascii="宋体" w:hAnsi="宋体" w:eastAsia="宋体" w:cs="宋体"/>
          <w:sz w:val="22"/>
          <w:szCs w:val="22"/>
        </w:rPr>
        <w:tab/>
      </w:r>
      <w:r>
        <w:rPr>
          <w:rFonts w:hint="eastAsia" w:ascii="宋体" w:hAnsi="宋体" w:eastAsia="宋体" w:cs="宋体"/>
          <w:sz w:val="22"/>
          <w:szCs w:val="22"/>
        </w:rPr>
        <w:tab/>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1. 担保金额人民币（大写）</w:t>
      </w:r>
      <w:r>
        <w:rPr>
          <w:rFonts w:hint="eastAsia" w:ascii="宋体" w:hAnsi="宋体" w:eastAsia="宋体" w:cs="宋体"/>
          <w:sz w:val="22"/>
          <w:szCs w:val="22"/>
          <w:u w:val="single"/>
        </w:rPr>
        <w:t xml:space="preserve">                   </w:t>
      </w:r>
      <w:r>
        <w:rPr>
          <w:rFonts w:hint="eastAsia" w:ascii="宋体" w:hAnsi="宋体" w:eastAsia="宋体" w:cs="宋体"/>
          <w:sz w:val="22"/>
          <w:szCs w:val="22"/>
        </w:rPr>
        <w:t>（¥</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2.担保有效期自买方与卖方签订的合同生效之日起至合同设备验收证书或验收款支付函签署之日起 28 日后失效。</w:t>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3.在本担保有效期内，如果卖方不履行合同约定的义务或其履行不符合合同的约定，我方在收到你方以书面形式提出的在担保金额内的赔偿要求后，在 7 日内无条件支付。</w:t>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4.买方和卖方变更合同时，无论我方是否收到该变更，我方承担本担保规定的义务不变。</w:t>
      </w: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担保人名称 ：（盖单位章）</w:t>
      </w: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法定代表人（单位负责人）</w:t>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或其委托代理人：</w:t>
      </w:r>
      <w:r>
        <w:rPr>
          <w:rFonts w:hint="eastAsia" w:ascii="宋体" w:hAnsi="宋体" w:eastAsia="宋体" w:cs="宋体"/>
          <w:sz w:val="22"/>
          <w:szCs w:val="22"/>
          <w:u w:val="single"/>
        </w:rPr>
        <w:t xml:space="preserve">                   </w:t>
      </w:r>
      <w:r>
        <w:rPr>
          <w:rFonts w:hint="eastAsia" w:ascii="宋体" w:hAnsi="宋体" w:eastAsia="宋体" w:cs="宋体"/>
          <w:sz w:val="22"/>
          <w:szCs w:val="22"/>
        </w:rPr>
        <w:t>（签字）</w:t>
      </w: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地</w:t>
      </w:r>
      <w:r>
        <w:rPr>
          <w:rFonts w:hint="eastAsia" w:ascii="宋体" w:hAnsi="宋体" w:eastAsia="宋体" w:cs="宋体"/>
          <w:sz w:val="22"/>
          <w:szCs w:val="22"/>
        </w:rPr>
        <w:tab/>
      </w:r>
      <w:r>
        <w:rPr>
          <w:rFonts w:hint="eastAsia" w:ascii="宋体" w:hAnsi="宋体" w:eastAsia="宋体" w:cs="宋体"/>
          <w:sz w:val="22"/>
          <w:szCs w:val="22"/>
        </w:rPr>
        <w:t>址：</w:t>
      </w:r>
      <w:r>
        <w:rPr>
          <w:rFonts w:hint="eastAsia" w:ascii="宋体" w:hAnsi="宋体" w:eastAsia="宋体" w:cs="宋体"/>
          <w:sz w:val="22"/>
          <w:szCs w:val="22"/>
          <w:u w:val="single"/>
        </w:rPr>
        <w:t xml:space="preserve">                                                                 </w:t>
      </w:r>
      <w:r>
        <w:rPr>
          <w:rFonts w:hint="eastAsia" w:ascii="宋体" w:hAnsi="宋体" w:eastAsia="宋体" w:cs="宋体"/>
          <w:sz w:val="22"/>
          <w:szCs w:val="22"/>
        </w:rPr>
        <w:tab/>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邮政编码：</w:t>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电</w:t>
      </w:r>
      <w:r>
        <w:rPr>
          <w:rFonts w:hint="eastAsia" w:ascii="宋体" w:hAnsi="宋体" w:eastAsia="宋体" w:cs="宋体"/>
          <w:sz w:val="22"/>
          <w:szCs w:val="22"/>
        </w:rPr>
        <w:tab/>
      </w:r>
      <w:r>
        <w:rPr>
          <w:rFonts w:hint="eastAsia" w:ascii="宋体" w:hAnsi="宋体" w:eastAsia="宋体" w:cs="宋体"/>
          <w:sz w:val="22"/>
          <w:szCs w:val="22"/>
        </w:rPr>
        <w:t xml:space="preserve">      话：</w:t>
      </w: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1100" w:firstLineChars="500"/>
        <w:jc w:val="left"/>
        <w:rPr>
          <w:rFonts w:ascii="宋体" w:hAnsi="宋体" w:eastAsia="宋体" w:cs="宋体"/>
          <w:sz w:val="22"/>
          <w:szCs w:val="22"/>
        </w:rPr>
      </w:pPr>
      <w:r>
        <w:rPr>
          <w:rFonts w:hint="eastAsia" w:ascii="宋体" w:hAnsi="宋体" w:eastAsia="宋体" w:cs="宋体"/>
          <w:sz w:val="22"/>
          <w:szCs w:val="22"/>
          <w:u w:val="single"/>
        </w:rPr>
        <w:tab/>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年</w:t>
      </w:r>
      <w:r>
        <w:rPr>
          <w:rFonts w:hint="eastAsia" w:ascii="宋体" w:hAnsi="宋体" w:eastAsia="宋体" w:cs="宋体"/>
          <w:sz w:val="22"/>
          <w:szCs w:val="22"/>
          <w:u w:val="single"/>
        </w:rPr>
        <w:tab/>
      </w:r>
      <w:r>
        <w:rPr>
          <w:rFonts w:hint="eastAsia" w:ascii="宋体" w:hAnsi="宋体" w:eastAsia="宋体" w:cs="宋体"/>
          <w:sz w:val="22"/>
          <w:szCs w:val="22"/>
          <w:u w:val="single"/>
        </w:rPr>
        <w:tab/>
      </w:r>
      <w:r>
        <w:rPr>
          <w:rFonts w:hint="eastAsia" w:ascii="宋体" w:hAnsi="宋体" w:eastAsia="宋体" w:cs="宋体"/>
          <w:sz w:val="22"/>
          <w:szCs w:val="22"/>
        </w:rPr>
        <w:t>月</w:t>
      </w:r>
      <w:r>
        <w:rPr>
          <w:rFonts w:hint="eastAsia" w:ascii="宋体" w:hAnsi="宋体" w:eastAsia="宋体" w:cs="宋体"/>
          <w:sz w:val="22"/>
          <w:szCs w:val="22"/>
          <w:u w:val="single"/>
        </w:rPr>
        <w:tab/>
      </w:r>
      <w:r>
        <w:rPr>
          <w:rFonts w:hint="eastAsia" w:ascii="宋体" w:hAnsi="宋体" w:eastAsia="宋体" w:cs="宋体"/>
          <w:sz w:val="22"/>
          <w:szCs w:val="22"/>
          <w:u w:val="single"/>
        </w:rPr>
        <w:tab/>
      </w:r>
      <w:r>
        <w:rPr>
          <w:rFonts w:hint="eastAsia" w:ascii="宋体" w:hAnsi="宋体" w:eastAsia="宋体" w:cs="宋体"/>
          <w:sz w:val="22"/>
          <w:szCs w:val="22"/>
        </w:rPr>
        <w:t>日</w:t>
      </w:r>
    </w:p>
    <w:p>
      <w:pPr>
        <w:adjustRightInd w:val="0"/>
        <w:snapToGrid w:val="0"/>
        <w:spacing w:line="300" w:lineRule="auto"/>
        <w:jc w:val="left"/>
        <w:rPr>
          <w:rFonts w:ascii="Calibri" w:hAnsi="Calibri" w:eastAsia="宋体"/>
          <w:sz w:val="24"/>
          <w:szCs w:val="24"/>
        </w:rPr>
      </w:pPr>
    </w:p>
    <w:p>
      <w:pPr>
        <w:adjustRightInd w:val="0"/>
        <w:snapToGrid w:val="0"/>
        <w:spacing w:line="300" w:lineRule="auto"/>
        <w:ind w:firstLine="422" w:firstLineChars="200"/>
        <w:jc w:val="left"/>
        <w:rPr>
          <w:rFonts w:ascii="Calibri" w:hAnsi="Calibri" w:eastAsia="宋体"/>
          <w:sz w:val="21"/>
          <w:szCs w:val="21"/>
        </w:rPr>
      </w:pPr>
      <w:r>
        <w:rPr>
          <w:rFonts w:ascii="Calibri" w:hAnsi="Calibri" w:eastAsia="宋体"/>
          <w:b/>
          <w:bCs/>
          <w:sz w:val="21"/>
          <w:szCs w:val="21"/>
        </w:rPr>
        <w:t>注：本保函格式未经发包人同意不允许更改，如确需更改，须事先征得发包人同意。</w:t>
      </w:r>
    </w:p>
    <w:p>
      <w:pPr>
        <w:spacing w:line="360" w:lineRule="auto"/>
        <w:ind w:firstLine="440" w:firstLineChars="200"/>
        <w:jc w:val="left"/>
        <w:rPr>
          <w:rFonts w:ascii="宋体" w:hAnsi="宋体" w:eastAsia="宋体" w:cs="宋体"/>
          <w:color w:val="FF0000"/>
          <w:sz w:val="22"/>
          <w:szCs w:val="22"/>
        </w:rPr>
      </w:pP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附件三</w:t>
      </w:r>
    </w:p>
    <w:tbl>
      <w:tblPr>
        <w:tblStyle w:val="2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636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78" w:type="dxa"/>
            <w:vAlign w:val="center"/>
          </w:tcPr>
          <w:p>
            <w:pPr>
              <w:widowControl/>
              <w:adjustRightInd w:val="0"/>
              <w:snapToGrid w:val="0"/>
              <w:ind w:firstLine="420" w:firstLineChars="200"/>
              <w:rPr>
                <w:rFonts w:ascii="仿宋" w:hAnsi="仿宋" w:eastAsia="仿宋" w:cs="仿宋"/>
                <w:sz w:val="21"/>
                <w:szCs w:val="21"/>
              </w:rPr>
            </w:pPr>
            <w:r>
              <w:rPr>
                <w:rFonts w:hint="eastAsia" w:ascii="仿宋" w:hAnsi="仿宋" w:eastAsia="仿宋" w:cs="仿宋"/>
                <w:sz w:val="21"/>
                <w:szCs w:val="21"/>
              </w:rPr>
              <w:t>片区</w:t>
            </w:r>
          </w:p>
        </w:tc>
        <w:tc>
          <w:tcPr>
            <w:tcW w:w="6366" w:type="dxa"/>
            <w:vAlign w:val="center"/>
          </w:tcPr>
          <w:p>
            <w:pPr>
              <w:widowControl/>
              <w:adjustRightInd w:val="0"/>
              <w:snapToGrid w:val="0"/>
              <w:ind w:firstLine="420" w:firstLineChars="200"/>
              <w:rPr>
                <w:rFonts w:ascii="仿宋" w:hAnsi="仿宋" w:eastAsia="仿宋" w:cs="仿宋"/>
                <w:sz w:val="21"/>
                <w:szCs w:val="21"/>
              </w:rPr>
            </w:pPr>
            <w:r>
              <w:rPr>
                <w:rFonts w:hint="eastAsia" w:ascii="仿宋" w:hAnsi="仿宋" w:eastAsia="仿宋" w:cs="仿宋"/>
                <w:sz w:val="21"/>
                <w:szCs w:val="21"/>
              </w:rPr>
              <w:t>服务区</w:t>
            </w:r>
          </w:p>
        </w:tc>
        <w:tc>
          <w:tcPr>
            <w:tcW w:w="1684" w:type="dxa"/>
            <w:vAlign w:val="center"/>
          </w:tcPr>
          <w:p>
            <w:pPr>
              <w:widowControl/>
              <w:adjustRightInd w:val="0"/>
              <w:snapToGrid w:val="0"/>
              <w:ind w:firstLine="420" w:firstLineChars="200"/>
              <w:rPr>
                <w:rFonts w:ascii="仿宋" w:hAnsi="仿宋" w:eastAsia="仿宋" w:cs="仿宋"/>
                <w:sz w:val="21"/>
                <w:szCs w:val="21"/>
              </w:rPr>
            </w:pPr>
            <w:r>
              <w:rPr>
                <w:rFonts w:hint="eastAsia" w:ascii="仿宋" w:hAnsi="仿宋" w:eastAsia="仿宋" w:cs="仿宋"/>
                <w:sz w:val="21"/>
                <w:szCs w:val="21"/>
              </w:rPr>
              <w:t>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trPr>
        <w:tc>
          <w:tcPr>
            <w:tcW w:w="1778"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安庆片区</w:t>
            </w:r>
          </w:p>
        </w:tc>
        <w:tc>
          <w:tcPr>
            <w:tcW w:w="6366" w:type="dxa"/>
            <w:vAlign w:val="center"/>
          </w:tcPr>
          <w:p>
            <w:pPr>
              <w:widowControl/>
              <w:jc w:val="left"/>
              <w:textAlignment w:val="center"/>
              <w:rPr>
                <w:rFonts w:ascii="仿宋" w:hAnsi="仿宋" w:eastAsia="仿宋" w:cs="仿宋"/>
                <w:sz w:val="21"/>
                <w:szCs w:val="21"/>
              </w:rPr>
            </w:pPr>
            <w:r>
              <w:rPr>
                <w:rFonts w:hint="eastAsia" w:ascii="仿宋" w:hAnsi="仿宋" w:eastAsia="仿宋" w:cs="仿宋"/>
                <w:kern w:val="0"/>
                <w:sz w:val="21"/>
                <w:szCs w:val="21"/>
                <w:lang w:bidi="ar"/>
              </w:rPr>
              <w:t>白帽、陈埠、大龙山、王河、潜山、公岭、香铺、岳西、太湖</w:t>
            </w:r>
          </w:p>
        </w:tc>
        <w:tc>
          <w:tcPr>
            <w:tcW w:w="1684"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78"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黄山片区</w:t>
            </w:r>
          </w:p>
        </w:tc>
        <w:tc>
          <w:tcPr>
            <w:tcW w:w="6366" w:type="dxa"/>
            <w:vAlign w:val="center"/>
          </w:tcPr>
          <w:p>
            <w:pPr>
              <w:widowControl/>
              <w:jc w:val="left"/>
              <w:textAlignment w:val="center"/>
              <w:rPr>
                <w:rFonts w:ascii="仿宋" w:hAnsi="仿宋" w:eastAsia="仿宋" w:cs="仿宋"/>
                <w:sz w:val="21"/>
                <w:szCs w:val="21"/>
              </w:rPr>
            </w:pPr>
            <w:r>
              <w:rPr>
                <w:rFonts w:hint="eastAsia" w:ascii="仿宋" w:hAnsi="仿宋" w:eastAsia="仿宋" w:cs="仿宋"/>
                <w:kern w:val="0"/>
                <w:sz w:val="21"/>
                <w:szCs w:val="21"/>
                <w:lang w:bidi="ar"/>
              </w:rPr>
              <w:t>呈坎、休宁、齐云山、金沙、牯牛降、宁国、太平湖</w:t>
            </w:r>
          </w:p>
        </w:tc>
        <w:tc>
          <w:tcPr>
            <w:tcW w:w="1684"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78"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池州片区</w:t>
            </w:r>
          </w:p>
        </w:tc>
        <w:tc>
          <w:tcPr>
            <w:tcW w:w="6366" w:type="dxa"/>
            <w:vAlign w:val="center"/>
          </w:tcPr>
          <w:p>
            <w:pPr>
              <w:widowControl/>
              <w:jc w:val="left"/>
              <w:textAlignment w:val="center"/>
              <w:rPr>
                <w:rFonts w:ascii="仿宋" w:hAnsi="仿宋" w:eastAsia="仿宋" w:cs="仿宋"/>
                <w:sz w:val="21"/>
                <w:szCs w:val="21"/>
              </w:rPr>
            </w:pPr>
            <w:r>
              <w:rPr>
                <w:rFonts w:hint="eastAsia" w:ascii="仿宋" w:hAnsi="仿宋" w:eastAsia="仿宋" w:cs="仿宋"/>
                <w:kern w:val="0"/>
                <w:sz w:val="21"/>
                <w:szCs w:val="21"/>
                <w:lang w:bidi="ar"/>
              </w:rPr>
              <w:t>马衙、九华山、升金湖、天门、牛头山、周潭、沙溪、顺安、花园</w:t>
            </w:r>
          </w:p>
        </w:tc>
        <w:tc>
          <w:tcPr>
            <w:tcW w:w="1684"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78"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芜湖片区</w:t>
            </w:r>
          </w:p>
        </w:tc>
        <w:tc>
          <w:tcPr>
            <w:tcW w:w="6366" w:type="dxa"/>
            <w:vAlign w:val="center"/>
          </w:tcPr>
          <w:p>
            <w:pPr>
              <w:widowControl/>
              <w:jc w:val="left"/>
              <w:textAlignment w:val="center"/>
              <w:rPr>
                <w:rFonts w:ascii="仿宋" w:hAnsi="仿宋" w:eastAsia="仿宋" w:cs="仿宋"/>
                <w:sz w:val="21"/>
                <w:szCs w:val="21"/>
              </w:rPr>
            </w:pPr>
            <w:r>
              <w:rPr>
                <w:rFonts w:hint="eastAsia" w:ascii="仿宋" w:hAnsi="仿宋" w:eastAsia="仿宋" w:cs="仿宋"/>
                <w:kern w:val="0"/>
                <w:sz w:val="21"/>
                <w:szCs w:val="21"/>
                <w:lang w:bidi="ar"/>
              </w:rPr>
              <w:t>福山、广德、新竹、千军、南陵、寒亭</w:t>
            </w:r>
          </w:p>
        </w:tc>
        <w:tc>
          <w:tcPr>
            <w:tcW w:w="1684"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exact"/>
        </w:trPr>
        <w:tc>
          <w:tcPr>
            <w:tcW w:w="1778"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直属服务区</w:t>
            </w:r>
          </w:p>
        </w:tc>
        <w:tc>
          <w:tcPr>
            <w:tcW w:w="6366" w:type="dxa"/>
            <w:vAlign w:val="center"/>
          </w:tcPr>
          <w:p>
            <w:pPr>
              <w:widowControl/>
              <w:jc w:val="left"/>
              <w:textAlignment w:val="center"/>
              <w:rPr>
                <w:rFonts w:ascii="仿宋" w:hAnsi="仿宋" w:eastAsia="仿宋" w:cs="仿宋"/>
                <w:sz w:val="21"/>
                <w:szCs w:val="21"/>
              </w:rPr>
            </w:pPr>
            <w:r>
              <w:rPr>
                <w:rFonts w:hint="eastAsia" w:ascii="仿宋" w:hAnsi="仿宋" w:eastAsia="仿宋" w:cs="仿宋"/>
                <w:kern w:val="0"/>
                <w:sz w:val="21"/>
                <w:szCs w:val="21"/>
                <w:lang w:bidi="ar"/>
              </w:rPr>
              <w:t>肥东、龙门寺、新桥</w:t>
            </w:r>
          </w:p>
        </w:tc>
        <w:tc>
          <w:tcPr>
            <w:tcW w:w="1684"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78"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六安片区</w:t>
            </w:r>
          </w:p>
        </w:tc>
        <w:tc>
          <w:tcPr>
            <w:tcW w:w="6366" w:type="dxa"/>
            <w:vAlign w:val="center"/>
          </w:tcPr>
          <w:p>
            <w:pPr>
              <w:widowControl/>
              <w:jc w:val="left"/>
              <w:textAlignment w:val="center"/>
              <w:rPr>
                <w:rFonts w:ascii="仿宋" w:hAnsi="仿宋" w:eastAsia="仿宋" w:cs="仿宋"/>
                <w:sz w:val="21"/>
                <w:szCs w:val="21"/>
              </w:rPr>
            </w:pPr>
            <w:r>
              <w:rPr>
                <w:rFonts w:hint="eastAsia" w:ascii="仿宋" w:hAnsi="仿宋" w:eastAsia="仿宋" w:cs="仿宋"/>
                <w:kern w:val="0"/>
                <w:sz w:val="21"/>
                <w:szCs w:val="21"/>
                <w:lang w:bidi="ar"/>
              </w:rPr>
              <w:t>西桥、罗集、梅山、天堂寨、长岭关、霍山、徐集、河口</w:t>
            </w:r>
          </w:p>
        </w:tc>
        <w:tc>
          <w:tcPr>
            <w:tcW w:w="1684"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78"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淮阜片区</w:t>
            </w:r>
          </w:p>
        </w:tc>
        <w:tc>
          <w:tcPr>
            <w:tcW w:w="6366" w:type="dxa"/>
            <w:vAlign w:val="center"/>
          </w:tcPr>
          <w:p>
            <w:pPr>
              <w:widowControl/>
              <w:jc w:val="left"/>
              <w:textAlignment w:val="center"/>
              <w:rPr>
                <w:rFonts w:ascii="仿宋" w:hAnsi="仿宋" w:eastAsia="仿宋" w:cs="仿宋"/>
                <w:sz w:val="21"/>
                <w:szCs w:val="21"/>
              </w:rPr>
            </w:pPr>
            <w:r>
              <w:rPr>
                <w:rFonts w:hint="eastAsia" w:ascii="仿宋" w:hAnsi="仿宋" w:eastAsia="仿宋" w:cs="仿宋"/>
                <w:kern w:val="0"/>
                <w:sz w:val="21"/>
                <w:szCs w:val="21"/>
                <w:lang w:bidi="ar"/>
              </w:rPr>
              <w:t>八公山、吴圩、官塘、红星、焦岗湖、颍上</w:t>
            </w:r>
          </w:p>
        </w:tc>
        <w:tc>
          <w:tcPr>
            <w:tcW w:w="1684"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78"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界阜蚌片区</w:t>
            </w:r>
          </w:p>
        </w:tc>
        <w:tc>
          <w:tcPr>
            <w:tcW w:w="6366" w:type="dxa"/>
            <w:vAlign w:val="center"/>
          </w:tcPr>
          <w:p>
            <w:pPr>
              <w:widowControl/>
              <w:jc w:val="left"/>
              <w:textAlignment w:val="center"/>
              <w:rPr>
                <w:rFonts w:ascii="仿宋" w:hAnsi="仿宋" w:eastAsia="仿宋" w:cs="仿宋"/>
                <w:sz w:val="21"/>
                <w:szCs w:val="21"/>
              </w:rPr>
            </w:pPr>
            <w:r>
              <w:rPr>
                <w:rFonts w:hint="eastAsia" w:ascii="仿宋" w:hAnsi="仿宋" w:eastAsia="仿宋" w:cs="仿宋"/>
                <w:kern w:val="0"/>
                <w:sz w:val="21"/>
                <w:szCs w:val="21"/>
                <w:lang w:bidi="ar"/>
              </w:rPr>
              <w:t>吕望、三角元、伍明、辛集、长春、四方湖</w:t>
            </w:r>
          </w:p>
        </w:tc>
        <w:tc>
          <w:tcPr>
            <w:tcW w:w="1684"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778"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宿州片区</w:t>
            </w:r>
          </w:p>
        </w:tc>
        <w:tc>
          <w:tcPr>
            <w:tcW w:w="6366" w:type="dxa"/>
            <w:vAlign w:val="center"/>
          </w:tcPr>
          <w:p>
            <w:pPr>
              <w:widowControl/>
              <w:jc w:val="left"/>
              <w:textAlignment w:val="center"/>
              <w:rPr>
                <w:rFonts w:ascii="仿宋" w:hAnsi="仿宋" w:eastAsia="仿宋" w:cs="仿宋"/>
                <w:sz w:val="21"/>
                <w:szCs w:val="21"/>
              </w:rPr>
            </w:pPr>
            <w:r>
              <w:rPr>
                <w:rFonts w:hint="eastAsia" w:ascii="仿宋" w:hAnsi="仿宋" w:eastAsia="仿宋" w:cs="仿宋"/>
                <w:kern w:val="0"/>
                <w:sz w:val="21"/>
                <w:szCs w:val="21"/>
                <w:lang w:bidi="ar"/>
              </w:rPr>
              <w:t>桥头、符离、濉溪、王寨、君王、庄里、石龙湖、</w:t>
            </w:r>
          </w:p>
        </w:tc>
        <w:tc>
          <w:tcPr>
            <w:tcW w:w="1684"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trPr>
        <w:tc>
          <w:tcPr>
            <w:tcW w:w="1778"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滁马片区</w:t>
            </w:r>
          </w:p>
        </w:tc>
        <w:tc>
          <w:tcPr>
            <w:tcW w:w="6366" w:type="dxa"/>
            <w:vAlign w:val="center"/>
          </w:tcPr>
          <w:p>
            <w:pPr>
              <w:widowControl/>
              <w:jc w:val="left"/>
              <w:textAlignment w:val="center"/>
              <w:rPr>
                <w:rFonts w:ascii="仿宋" w:hAnsi="仿宋" w:eastAsia="仿宋" w:cs="仿宋"/>
                <w:sz w:val="21"/>
                <w:szCs w:val="21"/>
              </w:rPr>
            </w:pPr>
            <w:r>
              <w:rPr>
                <w:rFonts w:hint="eastAsia" w:ascii="仿宋" w:hAnsi="仿宋" w:eastAsia="仿宋" w:cs="仿宋"/>
                <w:kern w:val="0"/>
                <w:sz w:val="21"/>
                <w:szCs w:val="21"/>
                <w:lang w:bidi="ar"/>
              </w:rPr>
              <w:t>太白岛、大墅、釜山、滁州、吴庄、清溪、太白、</w:t>
            </w:r>
          </w:p>
        </w:tc>
        <w:tc>
          <w:tcPr>
            <w:tcW w:w="1684"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7</w:t>
            </w:r>
          </w:p>
        </w:tc>
      </w:tr>
    </w:tbl>
    <w:p>
      <w:pPr>
        <w:keepNext/>
        <w:keepLines/>
        <w:spacing w:before="240" w:after="240" w:line="600" w:lineRule="exact"/>
        <w:jc w:val="center"/>
        <w:outlineLvl w:val="0"/>
        <w:rPr>
          <w:rFonts w:ascii="Times New Roman" w:eastAsia="方正小标宋简体"/>
          <w:bCs/>
          <w:kern w:val="44"/>
          <w:sz w:val="44"/>
          <w:szCs w:val="44"/>
        </w:rPr>
      </w:pPr>
    </w:p>
    <w:p>
      <w:pPr>
        <w:keepNext/>
        <w:keepLines/>
        <w:spacing w:before="240" w:after="240" w:line="600" w:lineRule="exact"/>
        <w:jc w:val="center"/>
        <w:outlineLvl w:val="0"/>
        <w:rPr>
          <w:rFonts w:ascii="Times New Roman" w:eastAsia="方正小标宋简体"/>
          <w:bCs/>
          <w:kern w:val="44"/>
          <w:sz w:val="44"/>
          <w:szCs w:val="44"/>
        </w:rPr>
      </w:pPr>
    </w:p>
    <w:p>
      <w:pPr>
        <w:keepNext/>
        <w:keepLines/>
        <w:spacing w:before="240" w:after="240" w:line="600" w:lineRule="exact"/>
        <w:jc w:val="center"/>
        <w:outlineLvl w:val="0"/>
        <w:rPr>
          <w:rFonts w:ascii="Times New Roman" w:eastAsia="方正小标宋简体"/>
          <w:bCs/>
          <w:kern w:val="44"/>
          <w:sz w:val="44"/>
          <w:szCs w:val="44"/>
        </w:rPr>
      </w:pPr>
      <w:r>
        <w:rPr>
          <w:rFonts w:ascii="Times New Roman" w:eastAsia="方正小标宋简体"/>
          <w:bCs/>
          <w:kern w:val="44"/>
          <w:sz w:val="44"/>
          <w:szCs w:val="44"/>
        </w:rPr>
        <w:br w:type="page"/>
      </w:r>
    </w:p>
    <w:p>
      <w:pPr>
        <w:keepNext/>
        <w:keepLines/>
        <w:spacing w:before="240" w:after="240" w:line="600" w:lineRule="exact"/>
        <w:jc w:val="center"/>
        <w:outlineLvl w:val="0"/>
        <w:rPr>
          <w:rFonts w:ascii="Times New Roman" w:eastAsia="方正小标宋简体"/>
          <w:bCs/>
          <w:kern w:val="44"/>
          <w:sz w:val="44"/>
          <w:szCs w:val="44"/>
        </w:rPr>
      </w:pPr>
      <w:bookmarkStart w:id="18" w:name="_Toc4196"/>
    </w:p>
    <w:p>
      <w:pPr>
        <w:keepNext/>
        <w:keepLines/>
        <w:spacing w:before="240" w:after="240" w:line="600" w:lineRule="exact"/>
        <w:jc w:val="center"/>
        <w:outlineLvl w:val="0"/>
        <w:rPr>
          <w:rFonts w:ascii="Times New Roman" w:eastAsia="方正小标宋简体"/>
          <w:bCs/>
          <w:kern w:val="44"/>
          <w:sz w:val="44"/>
          <w:szCs w:val="44"/>
        </w:rPr>
      </w:pPr>
    </w:p>
    <w:p>
      <w:pPr>
        <w:keepNext/>
        <w:keepLines/>
        <w:spacing w:before="240" w:after="240" w:line="600" w:lineRule="exact"/>
        <w:jc w:val="center"/>
        <w:outlineLvl w:val="0"/>
        <w:rPr>
          <w:rFonts w:ascii="Times New Roman" w:eastAsia="方正小标宋简体"/>
          <w:bCs/>
          <w:kern w:val="44"/>
          <w:sz w:val="44"/>
          <w:szCs w:val="44"/>
        </w:rPr>
      </w:pPr>
    </w:p>
    <w:p>
      <w:pPr>
        <w:keepNext/>
        <w:keepLines/>
        <w:spacing w:before="240" w:after="240" w:line="600" w:lineRule="exact"/>
        <w:jc w:val="center"/>
        <w:outlineLvl w:val="0"/>
        <w:rPr>
          <w:rFonts w:ascii="Times New Roman" w:eastAsia="方正小标宋简体"/>
          <w:bCs/>
          <w:kern w:val="44"/>
          <w:sz w:val="44"/>
          <w:szCs w:val="44"/>
        </w:rPr>
      </w:pPr>
    </w:p>
    <w:p>
      <w:pPr>
        <w:keepNext/>
        <w:keepLines/>
        <w:spacing w:before="240" w:after="240" w:line="600" w:lineRule="exact"/>
        <w:jc w:val="center"/>
        <w:outlineLvl w:val="0"/>
        <w:rPr>
          <w:rFonts w:ascii="Times New Roman" w:eastAsia="方正小标宋简体"/>
          <w:bCs/>
          <w:kern w:val="44"/>
          <w:sz w:val="44"/>
          <w:szCs w:val="44"/>
        </w:rPr>
      </w:pPr>
    </w:p>
    <w:p>
      <w:pPr>
        <w:keepNext/>
        <w:keepLines/>
        <w:spacing w:before="240" w:after="240" w:line="600" w:lineRule="exact"/>
        <w:jc w:val="center"/>
        <w:outlineLvl w:val="0"/>
        <w:rPr>
          <w:rFonts w:ascii="Times New Roman" w:eastAsia="方正小标宋简体"/>
          <w:bCs/>
          <w:kern w:val="44"/>
          <w:sz w:val="44"/>
          <w:szCs w:val="44"/>
        </w:rPr>
      </w:pPr>
    </w:p>
    <w:p>
      <w:pPr>
        <w:keepNext/>
        <w:keepLines/>
        <w:spacing w:before="240" w:after="240" w:line="600" w:lineRule="exact"/>
        <w:jc w:val="center"/>
        <w:outlineLvl w:val="0"/>
        <w:rPr>
          <w:rFonts w:ascii="Times New Roman" w:eastAsia="方正小标宋简体"/>
          <w:bCs/>
          <w:kern w:val="44"/>
          <w:sz w:val="44"/>
          <w:szCs w:val="44"/>
        </w:rPr>
      </w:pPr>
      <w:r>
        <w:rPr>
          <w:rFonts w:hint="eastAsia" w:ascii="Times New Roman" w:eastAsia="方正小标宋简体"/>
          <w:bCs/>
          <w:kern w:val="44"/>
          <w:sz w:val="44"/>
          <w:szCs w:val="44"/>
        </w:rPr>
        <w:t>第五章  响应文件格式</w:t>
      </w:r>
      <w:bookmarkEnd w:id="18"/>
    </w:p>
    <w:p>
      <w:pPr>
        <w:spacing w:line="360" w:lineRule="auto"/>
        <w:jc w:val="left"/>
        <w:rPr>
          <w:rFonts w:ascii="宋体" w:hAnsi="宋体" w:eastAsia="宋体" w:cs="宋体"/>
          <w:color w:val="FF0000"/>
          <w:sz w:val="22"/>
          <w:szCs w:val="22"/>
        </w:rPr>
        <w:sectPr>
          <w:headerReference r:id="rId13" w:type="default"/>
          <w:footerReference r:id="rId14" w:type="default"/>
          <w:pgSz w:w="11906" w:h="16838"/>
          <w:pgMar w:top="1417" w:right="1417" w:bottom="1417" w:left="1417" w:header="850" w:footer="850" w:gutter="0"/>
          <w:cols w:space="720" w:num="1"/>
          <w:docGrid w:linePitch="312" w:charSpace="0"/>
        </w:sectPr>
      </w:pPr>
    </w:p>
    <w:p>
      <w:pPr>
        <w:spacing w:line="360" w:lineRule="auto"/>
        <w:jc w:val="center"/>
        <w:rPr>
          <w:rFonts w:ascii="宋体" w:hAnsi="宋体" w:eastAsia="宋体" w:cs="方正小标宋简体"/>
          <w:sz w:val="36"/>
          <w:szCs w:val="36"/>
        </w:rPr>
      </w:pPr>
      <w:r>
        <w:rPr>
          <w:rFonts w:hint="eastAsia" w:ascii="宋体" w:hAnsi="宋体" w:eastAsia="宋体" w:cs="方正小标宋简体"/>
          <w:sz w:val="36"/>
          <w:szCs w:val="36"/>
        </w:rPr>
        <w:t>驿达公司所属服务区除四害服务项目</w:t>
      </w:r>
    </w:p>
    <w:p>
      <w:pPr>
        <w:spacing w:line="360" w:lineRule="auto"/>
        <w:ind w:firstLine="3614" w:firstLineChars="1000"/>
        <w:jc w:val="left"/>
        <w:rPr>
          <w:rFonts w:ascii="宋体" w:hAnsi="宋体" w:eastAsia="宋体" w:cs="宋体"/>
          <w:b/>
          <w:bCs/>
          <w:sz w:val="36"/>
          <w:szCs w:val="36"/>
        </w:rPr>
      </w:pPr>
    </w:p>
    <w:p>
      <w:pPr>
        <w:spacing w:line="360" w:lineRule="auto"/>
        <w:ind w:firstLine="3614" w:firstLineChars="1000"/>
        <w:jc w:val="left"/>
        <w:rPr>
          <w:rFonts w:ascii="宋体" w:hAnsi="宋体" w:eastAsia="宋体" w:cs="宋体"/>
          <w:b/>
          <w:bCs/>
          <w:sz w:val="36"/>
          <w:szCs w:val="36"/>
        </w:rPr>
      </w:pPr>
    </w:p>
    <w:p>
      <w:pPr>
        <w:spacing w:line="360" w:lineRule="auto"/>
        <w:ind w:firstLine="3614" w:firstLineChars="1000"/>
        <w:jc w:val="left"/>
        <w:rPr>
          <w:rFonts w:ascii="宋体" w:hAnsi="宋体" w:eastAsia="宋体" w:cs="宋体"/>
          <w:b/>
          <w:bCs/>
          <w:sz w:val="36"/>
          <w:szCs w:val="36"/>
        </w:rPr>
      </w:pPr>
    </w:p>
    <w:p>
      <w:pPr>
        <w:spacing w:line="360" w:lineRule="auto"/>
        <w:ind w:firstLine="3614" w:firstLineChars="1000"/>
        <w:jc w:val="left"/>
        <w:rPr>
          <w:rFonts w:ascii="宋体" w:hAnsi="宋体" w:eastAsia="宋体" w:cs="宋体"/>
          <w:b/>
          <w:bCs/>
          <w:sz w:val="36"/>
          <w:szCs w:val="36"/>
        </w:rPr>
      </w:pPr>
    </w:p>
    <w:p>
      <w:pPr>
        <w:spacing w:line="360" w:lineRule="auto"/>
        <w:ind w:firstLine="3614" w:firstLineChars="1000"/>
        <w:jc w:val="left"/>
        <w:rPr>
          <w:rFonts w:ascii="宋体" w:hAnsi="宋体" w:eastAsia="宋体" w:cs="宋体"/>
          <w:b/>
          <w:bCs/>
          <w:sz w:val="36"/>
          <w:szCs w:val="36"/>
        </w:rPr>
      </w:pPr>
    </w:p>
    <w:p>
      <w:pPr>
        <w:spacing w:line="360" w:lineRule="auto"/>
        <w:ind w:firstLine="3614" w:firstLineChars="1000"/>
        <w:jc w:val="left"/>
        <w:rPr>
          <w:rFonts w:ascii="宋体" w:hAnsi="宋体" w:eastAsia="宋体" w:cs="宋体"/>
          <w:b/>
          <w:bCs/>
          <w:sz w:val="36"/>
          <w:szCs w:val="36"/>
        </w:rPr>
      </w:pPr>
      <w:r>
        <w:rPr>
          <w:rFonts w:hint="eastAsia" w:ascii="宋体" w:hAnsi="宋体" w:eastAsia="宋体" w:cs="宋体"/>
          <w:b/>
          <w:bCs/>
          <w:sz w:val="36"/>
          <w:szCs w:val="36"/>
        </w:rPr>
        <w:t>响应文件</w:t>
      </w:r>
    </w:p>
    <w:p>
      <w:pPr>
        <w:jc w:val="left"/>
        <w:rPr>
          <w:rFonts w:ascii="Calibri" w:hAnsi="Calibri" w:eastAsia="宋体"/>
          <w:color w:val="FF0000"/>
          <w:sz w:val="24"/>
          <w:szCs w:val="24"/>
        </w:rPr>
      </w:pPr>
      <w:bookmarkStart w:id="19" w:name="_Toc28335"/>
      <w:bookmarkStart w:id="20" w:name="_Toc4958"/>
      <w:bookmarkStart w:id="21" w:name="_Toc10671"/>
    </w:p>
    <w:bookmarkEnd w:id="19"/>
    <w:bookmarkEnd w:id="20"/>
    <w:bookmarkEnd w:id="21"/>
    <w:p>
      <w:pPr>
        <w:spacing w:line="360" w:lineRule="auto"/>
        <w:jc w:val="left"/>
        <w:rPr>
          <w:rFonts w:ascii="宋体" w:hAnsi="宋体" w:eastAsia="宋体" w:cs="宋体"/>
          <w:color w:val="FF0000"/>
          <w:sz w:val="22"/>
          <w:szCs w:val="22"/>
        </w:rPr>
      </w:pPr>
    </w:p>
    <w:p>
      <w:pPr>
        <w:spacing w:line="360" w:lineRule="auto"/>
        <w:jc w:val="left"/>
        <w:rPr>
          <w:rFonts w:ascii="宋体" w:hAnsi="宋体" w:eastAsia="宋体" w:cs="宋体"/>
          <w:color w:val="FF0000"/>
          <w:sz w:val="22"/>
          <w:szCs w:val="22"/>
        </w:rPr>
      </w:pPr>
    </w:p>
    <w:p>
      <w:pPr>
        <w:spacing w:line="360" w:lineRule="auto"/>
        <w:jc w:val="left"/>
        <w:rPr>
          <w:rFonts w:ascii="宋体" w:hAnsi="宋体" w:eastAsia="宋体" w:cs="宋体"/>
          <w:color w:val="FF0000"/>
          <w:sz w:val="22"/>
          <w:szCs w:val="22"/>
        </w:rPr>
      </w:pPr>
    </w:p>
    <w:p>
      <w:pPr>
        <w:spacing w:line="360" w:lineRule="auto"/>
        <w:jc w:val="left"/>
        <w:rPr>
          <w:rFonts w:ascii="宋体" w:hAnsi="宋体" w:eastAsia="宋体" w:cs="宋体"/>
          <w:color w:val="FF0000"/>
          <w:sz w:val="22"/>
          <w:szCs w:val="22"/>
        </w:rPr>
      </w:pPr>
    </w:p>
    <w:p>
      <w:pPr>
        <w:spacing w:line="360" w:lineRule="auto"/>
        <w:jc w:val="left"/>
        <w:rPr>
          <w:rFonts w:ascii="宋体" w:hAnsi="宋体" w:eastAsia="宋体" w:cs="宋体"/>
          <w:color w:val="FF0000"/>
          <w:sz w:val="22"/>
          <w:szCs w:val="22"/>
        </w:rPr>
      </w:pPr>
    </w:p>
    <w:p>
      <w:pPr>
        <w:jc w:val="left"/>
        <w:rPr>
          <w:rFonts w:ascii="Calibri" w:hAnsi="Calibri" w:eastAsia="宋体"/>
          <w:b/>
          <w:bCs/>
          <w:color w:val="FF0000"/>
          <w:sz w:val="24"/>
          <w:szCs w:val="24"/>
          <w:u w:val="single"/>
        </w:rPr>
      </w:pPr>
    </w:p>
    <w:p>
      <w:pPr>
        <w:spacing w:line="360" w:lineRule="auto"/>
        <w:jc w:val="left"/>
        <w:rPr>
          <w:rFonts w:ascii="宋体" w:hAnsi="宋体" w:eastAsia="宋体" w:cs="宋体"/>
          <w:color w:val="FF0000"/>
          <w:sz w:val="22"/>
          <w:szCs w:val="22"/>
        </w:rPr>
      </w:pPr>
    </w:p>
    <w:p>
      <w:pPr>
        <w:spacing w:line="360" w:lineRule="auto"/>
        <w:jc w:val="left"/>
        <w:rPr>
          <w:rFonts w:ascii="宋体" w:hAnsi="宋体" w:eastAsia="宋体" w:cs="宋体"/>
          <w:color w:val="FF0000"/>
          <w:sz w:val="22"/>
          <w:szCs w:val="22"/>
        </w:rPr>
      </w:pPr>
    </w:p>
    <w:p>
      <w:pPr>
        <w:spacing w:line="360" w:lineRule="auto"/>
        <w:jc w:val="left"/>
        <w:rPr>
          <w:rFonts w:ascii="宋体" w:hAnsi="宋体" w:eastAsia="宋体" w:cs="宋体"/>
          <w:color w:val="FF0000"/>
          <w:sz w:val="22"/>
          <w:szCs w:val="22"/>
        </w:rPr>
      </w:pPr>
    </w:p>
    <w:p>
      <w:pPr>
        <w:spacing w:line="360" w:lineRule="auto"/>
        <w:jc w:val="center"/>
        <w:rPr>
          <w:rFonts w:ascii="宋体" w:hAnsi="宋体" w:eastAsia="宋体" w:cs="宋体"/>
          <w:color w:val="FF0000"/>
        </w:rPr>
      </w:pPr>
    </w:p>
    <w:p>
      <w:pPr>
        <w:spacing w:line="360" w:lineRule="auto"/>
        <w:jc w:val="center"/>
        <w:rPr>
          <w:rFonts w:ascii="宋体" w:hAnsi="宋体" w:eastAsia="宋体" w:cs="宋体"/>
          <w:color w:val="FF0000"/>
        </w:rPr>
      </w:pPr>
    </w:p>
    <w:p>
      <w:pPr>
        <w:spacing w:line="360" w:lineRule="auto"/>
        <w:jc w:val="center"/>
        <w:rPr>
          <w:rFonts w:ascii="宋体" w:hAnsi="宋体" w:eastAsia="宋体" w:cs="宋体"/>
        </w:rPr>
      </w:pPr>
      <w:r>
        <w:rPr>
          <w:rFonts w:hint="eastAsia" w:ascii="宋体" w:hAnsi="宋体" w:eastAsia="宋体" w:cs="宋体"/>
        </w:rPr>
        <w:t>竞标人：(盖单位章)</w:t>
      </w:r>
    </w:p>
    <w:p>
      <w:pPr>
        <w:spacing w:line="360" w:lineRule="auto"/>
        <w:jc w:val="center"/>
        <w:rPr>
          <w:rFonts w:ascii="宋体" w:hAnsi="宋体" w:eastAsia="宋体" w:cs="宋体"/>
        </w:rPr>
      </w:pPr>
      <w:r>
        <w:rPr>
          <w:rFonts w:hint="eastAsia" w:ascii="宋体" w:hAnsi="宋体" w:eastAsia="宋体" w:cs="宋体"/>
        </w:rPr>
        <w:t>年   月    日</w:t>
      </w:r>
    </w:p>
    <w:p>
      <w:pPr>
        <w:spacing w:line="360" w:lineRule="auto"/>
        <w:jc w:val="center"/>
        <w:rPr>
          <w:rFonts w:ascii="宋体" w:hAnsi="宋体" w:eastAsia="宋体" w:cs="宋体"/>
          <w:color w:val="FF0000"/>
        </w:rPr>
      </w:pPr>
    </w:p>
    <w:p>
      <w:pPr>
        <w:spacing w:line="360" w:lineRule="auto"/>
        <w:jc w:val="center"/>
        <w:rPr>
          <w:rFonts w:ascii="宋体" w:hAnsi="宋体" w:eastAsia="宋体" w:cs="宋体"/>
          <w:color w:val="FF0000"/>
        </w:rPr>
        <w:sectPr>
          <w:pgSz w:w="11906" w:h="16838"/>
          <w:pgMar w:top="1417" w:right="1417" w:bottom="1417" w:left="1417" w:header="850" w:footer="850" w:gutter="0"/>
          <w:cols w:space="720" w:num="1"/>
          <w:docGrid w:linePitch="312" w:charSpace="0"/>
        </w:sectPr>
      </w:pPr>
    </w:p>
    <w:p>
      <w:pPr>
        <w:spacing w:line="360" w:lineRule="auto"/>
        <w:jc w:val="center"/>
        <w:rPr>
          <w:rFonts w:ascii="宋体" w:hAnsi="宋体" w:eastAsia="宋体" w:cs="宋体"/>
          <w:sz w:val="22"/>
          <w:szCs w:val="22"/>
        </w:rPr>
      </w:pPr>
      <w:r>
        <w:rPr>
          <w:rFonts w:hint="eastAsia" w:ascii="宋体" w:hAnsi="宋体" w:eastAsia="宋体" w:cs="宋体"/>
          <w:sz w:val="22"/>
          <w:szCs w:val="22"/>
        </w:rPr>
        <w:t>目录</w:t>
      </w:r>
    </w:p>
    <w:p>
      <w:pPr>
        <w:spacing w:line="360" w:lineRule="auto"/>
        <w:jc w:val="left"/>
        <w:rPr>
          <w:rFonts w:ascii="宋体" w:hAnsi="宋体" w:eastAsia="宋体" w:cs="宋体"/>
          <w:sz w:val="22"/>
          <w:szCs w:val="22"/>
        </w:rPr>
      </w:pPr>
    </w:p>
    <w:p>
      <w:pPr>
        <w:numPr>
          <w:ilvl w:val="0"/>
          <w:numId w:val="1"/>
        </w:num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投标函及</w:t>
      </w:r>
      <w:r>
        <w:rPr>
          <w:rFonts w:ascii="宋体" w:hAnsi="宋体" w:eastAsia="宋体" w:cs="宋体"/>
          <w:sz w:val="24"/>
          <w:szCs w:val="24"/>
        </w:rPr>
        <w:t>报价清单</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二</w:t>
      </w:r>
      <w:r>
        <w:rPr>
          <w:rFonts w:hint="eastAsia" w:ascii="Arial" w:hAnsi="Arial" w:eastAsia="黑体"/>
          <w:bCs/>
          <w:sz w:val="24"/>
          <w:szCs w:val="24"/>
        </w:rPr>
        <w:t>、</w:t>
      </w:r>
      <w:r>
        <w:rPr>
          <w:rFonts w:hint="eastAsia" w:ascii="宋体" w:hAnsi="宋体" w:eastAsia="宋体" w:cs="宋体"/>
          <w:sz w:val="24"/>
          <w:szCs w:val="24"/>
        </w:rPr>
        <w:t>法定代表人（单位负责人）身份证明</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三、授权委托书</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四、、竞标保证金</w:t>
      </w:r>
    </w:p>
    <w:p>
      <w:pPr>
        <w:spacing w:line="360" w:lineRule="auto"/>
        <w:ind w:firstLine="480" w:firstLineChars="200"/>
        <w:jc w:val="left"/>
        <w:rPr>
          <w:rFonts w:ascii="宋体" w:hAnsi="宋体" w:eastAsia="宋体" w:cs="宋体"/>
          <w:sz w:val="24"/>
          <w:szCs w:val="24"/>
        </w:rPr>
      </w:pPr>
      <w:r>
        <w:rPr>
          <w:rFonts w:hint="eastAsia" w:ascii="Calibri" w:hAnsi="Calibri" w:eastAsia="宋体"/>
          <w:sz w:val="24"/>
          <w:szCs w:val="24"/>
        </w:rPr>
        <w:t>五</w:t>
      </w:r>
      <w:r>
        <w:rPr>
          <w:rFonts w:hint="eastAsia" w:ascii="宋体" w:hAnsi="宋体" w:eastAsia="宋体" w:cs="宋体"/>
          <w:sz w:val="24"/>
          <w:szCs w:val="24"/>
        </w:rPr>
        <w:t>、资格审查资料</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（一）基本情况表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（二）近年完成的类似项目情况表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（三）信誉证明资料</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（四）拟委任的项目负责人资历表</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六、其他材料</w:t>
      </w:r>
    </w:p>
    <w:p>
      <w:pPr>
        <w:spacing w:line="360" w:lineRule="auto"/>
        <w:jc w:val="center"/>
        <w:rPr>
          <w:rFonts w:ascii="宋体" w:hAnsi="宋体" w:eastAsia="宋体" w:cs="宋体"/>
          <w:color w:val="FF0000"/>
          <w:sz w:val="22"/>
          <w:szCs w:val="22"/>
        </w:rPr>
      </w:pPr>
    </w:p>
    <w:p>
      <w:pPr>
        <w:spacing w:line="360" w:lineRule="auto"/>
        <w:jc w:val="center"/>
        <w:rPr>
          <w:rFonts w:ascii="宋体" w:hAnsi="宋体" w:eastAsia="宋体" w:cs="宋体"/>
          <w:color w:val="FF0000"/>
          <w:sz w:val="22"/>
          <w:szCs w:val="22"/>
        </w:rPr>
        <w:sectPr>
          <w:pgSz w:w="11906" w:h="16838"/>
          <w:pgMar w:top="1417" w:right="1417" w:bottom="1417" w:left="1417" w:header="850" w:footer="850" w:gutter="0"/>
          <w:cols w:space="720" w:num="1"/>
          <w:docGrid w:linePitch="312" w:charSpace="0"/>
        </w:sectPr>
      </w:pPr>
      <w:bookmarkStart w:id="22" w:name="_Toc189369363"/>
    </w:p>
    <w:bookmarkEnd w:id="22"/>
    <w:p>
      <w:pPr>
        <w:jc w:val="left"/>
        <w:rPr>
          <w:rFonts w:ascii="Calibri" w:hAnsi="Calibri" w:eastAsia="宋体"/>
          <w:color w:val="FF0000"/>
          <w:sz w:val="24"/>
          <w:szCs w:val="24"/>
        </w:rPr>
      </w:pPr>
      <w:bookmarkStart w:id="23" w:name="page81"/>
      <w:bookmarkEnd w:id="23"/>
    </w:p>
    <w:p>
      <w:pPr>
        <w:keepNext/>
        <w:keepLines/>
        <w:spacing w:line="360" w:lineRule="exact"/>
        <w:jc w:val="center"/>
        <w:outlineLvl w:val="1"/>
        <w:rPr>
          <w:rFonts w:ascii="Arial" w:hAnsi="Arial" w:eastAsia="黑体"/>
          <w:bCs/>
        </w:rPr>
      </w:pPr>
      <w:r>
        <w:rPr>
          <w:rFonts w:hint="eastAsia" w:ascii="Arial" w:hAnsi="Arial" w:eastAsia="黑体"/>
          <w:bCs/>
        </w:rPr>
        <w:t>一、投标函及</w:t>
      </w:r>
      <w:r>
        <w:rPr>
          <w:rFonts w:ascii="Arial" w:hAnsi="Arial" w:eastAsia="黑体"/>
          <w:bCs/>
        </w:rPr>
        <w:t>报价清单</w:t>
      </w:r>
    </w:p>
    <w:p>
      <w:pPr>
        <w:spacing w:line="360" w:lineRule="auto"/>
        <w:jc w:val="left"/>
        <w:rPr>
          <w:rFonts w:ascii="宋体" w:hAnsi="宋体" w:eastAsia="宋体" w:cs="宋体"/>
          <w:sz w:val="24"/>
          <w:szCs w:val="24"/>
        </w:rPr>
      </w:pPr>
    </w:p>
    <w:p>
      <w:pPr>
        <w:spacing w:line="360" w:lineRule="auto"/>
        <w:jc w:val="left"/>
        <w:rPr>
          <w:rFonts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采购人</w:t>
      </w:r>
      <w:r>
        <w:rPr>
          <w:rFonts w:ascii="宋体" w:hAnsi="宋体" w:eastAsia="宋体"/>
          <w:sz w:val="24"/>
          <w:szCs w:val="24"/>
        </w:rPr>
        <w:t>名称)：</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ascii="宋体" w:hAnsi="宋体" w:eastAsia="宋体"/>
          <w:sz w:val="24"/>
          <w:szCs w:val="24"/>
        </w:rPr>
        <w:t>1．我方已仔细研究了</w:t>
      </w:r>
      <w:r>
        <w:rPr>
          <w:rFonts w:ascii="宋体" w:hAnsi="宋体" w:eastAsia="宋体"/>
          <w:sz w:val="24"/>
          <w:szCs w:val="24"/>
          <w:u w:val="single"/>
        </w:rPr>
        <w:t xml:space="preserve">                      </w:t>
      </w:r>
      <w:r>
        <w:rPr>
          <w:rFonts w:ascii="宋体" w:hAnsi="宋体" w:eastAsia="宋体"/>
          <w:sz w:val="24"/>
          <w:szCs w:val="24"/>
        </w:rPr>
        <w:t>(项目名称)询比文件的全部内容(含补遗书第</w:t>
      </w:r>
      <w:r>
        <w:rPr>
          <w:rFonts w:ascii="宋体" w:hAnsi="宋体" w:eastAsia="宋体"/>
          <w:sz w:val="24"/>
          <w:szCs w:val="24"/>
          <w:u w:val="single"/>
        </w:rPr>
        <w:t xml:space="preserve">    </w:t>
      </w:r>
      <w:r>
        <w:rPr>
          <w:rFonts w:ascii="宋体" w:hAnsi="宋体" w:eastAsia="宋体"/>
          <w:sz w:val="24"/>
          <w:szCs w:val="24"/>
        </w:rPr>
        <w:t>号至第</w:t>
      </w:r>
      <w:r>
        <w:rPr>
          <w:rFonts w:ascii="宋体" w:hAnsi="宋体" w:eastAsia="宋体"/>
          <w:sz w:val="24"/>
          <w:szCs w:val="24"/>
          <w:u w:val="single"/>
        </w:rPr>
        <w:t xml:space="preserve">   </w:t>
      </w:r>
      <w:r>
        <w:rPr>
          <w:rFonts w:ascii="宋体" w:hAnsi="宋体" w:eastAsia="宋体"/>
          <w:sz w:val="24"/>
          <w:szCs w:val="24"/>
        </w:rPr>
        <w:t>号)，愿意以人民币(大写)</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)的投标总报价，</w:t>
      </w:r>
      <w:r>
        <w:rPr>
          <w:rFonts w:hint="eastAsia" w:ascii="宋体" w:hAnsi="宋体" w:eastAsia="宋体"/>
          <w:b/>
          <w:bCs/>
          <w:sz w:val="24"/>
          <w:szCs w:val="24"/>
        </w:rPr>
        <w:t>服务周</w:t>
      </w:r>
      <w:r>
        <w:rPr>
          <w:rFonts w:ascii="宋体" w:hAnsi="宋体" w:eastAsia="宋体"/>
          <w:b/>
          <w:bCs/>
          <w:sz w:val="24"/>
          <w:szCs w:val="24"/>
        </w:rPr>
        <w:t>期</w:t>
      </w:r>
      <w:r>
        <w:rPr>
          <w:rFonts w:ascii="宋体" w:hAnsi="宋体" w:eastAsia="宋体"/>
          <w:b/>
          <w:sz w:val="24"/>
          <w:szCs w:val="24"/>
          <w:u w:val="single"/>
        </w:rPr>
        <w:t xml:space="preserve">     </w:t>
      </w:r>
      <w:r>
        <w:rPr>
          <w:rFonts w:hint="eastAsia" w:ascii="宋体" w:hAnsi="宋体" w:eastAsia="宋体"/>
          <w:b/>
          <w:sz w:val="24"/>
          <w:szCs w:val="24"/>
        </w:rPr>
        <w:t>日历天</w:t>
      </w:r>
      <w:r>
        <w:rPr>
          <w:rFonts w:ascii="宋体" w:hAnsi="宋体" w:eastAsia="宋体"/>
          <w:spacing w:val="-4"/>
          <w:sz w:val="24"/>
          <w:szCs w:val="24"/>
        </w:rPr>
        <w:t>，质量标准达到</w:t>
      </w:r>
      <w:r>
        <w:rPr>
          <w:rFonts w:ascii="宋体" w:hAnsi="宋体" w:eastAsia="宋体"/>
          <w:b/>
          <w:sz w:val="24"/>
          <w:szCs w:val="24"/>
          <w:u w:val="single"/>
        </w:rPr>
        <w:t xml:space="preserve">           </w:t>
      </w:r>
      <w:r>
        <w:rPr>
          <w:rFonts w:ascii="宋体" w:hAnsi="宋体" w:eastAsia="宋体"/>
          <w:spacing w:val="-4"/>
          <w:sz w:val="24"/>
          <w:szCs w:val="24"/>
        </w:rPr>
        <w:t>，并按合同约定履行义务。</w:t>
      </w:r>
    </w:p>
    <w:p>
      <w:pPr>
        <w:spacing w:line="360" w:lineRule="auto"/>
        <w:jc w:val="left"/>
        <w:rPr>
          <w:rFonts w:ascii="宋体" w:hAnsi="宋体" w:eastAsia="宋体"/>
          <w:sz w:val="24"/>
          <w:szCs w:val="24"/>
        </w:rPr>
      </w:pPr>
      <w:r>
        <w:rPr>
          <w:rFonts w:ascii="宋体" w:hAnsi="宋体" w:eastAsia="宋体"/>
          <w:sz w:val="24"/>
          <w:szCs w:val="24"/>
        </w:rPr>
        <w:t>2．我方响应询比文件的全部要求。</w:t>
      </w:r>
    </w:p>
    <w:p>
      <w:pPr>
        <w:spacing w:line="360" w:lineRule="auto"/>
        <w:jc w:val="left"/>
        <w:rPr>
          <w:rFonts w:ascii="宋体" w:hAnsi="宋体" w:eastAsia="宋体"/>
          <w:sz w:val="24"/>
          <w:szCs w:val="24"/>
        </w:rPr>
      </w:pPr>
      <w:r>
        <w:rPr>
          <w:rFonts w:ascii="宋体" w:hAnsi="宋体" w:eastAsia="宋体"/>
          <w:sz w:val="24"/>
          <w:szCs w:val="24"/>
        </w:rPr>
        <w:t>3．我方承诺在询比文件规定的投标有效期内不撤销响应文件。</w:t>
      </w:r>
    </w:p>
    <w:p>
      <w:pPr>
        <w:spacing w:line="360" w:lineRule="auto"/>
        <w:jc w:val="left"/>
        <w:rPr>
          <w:rFonts w:ascii="宋体" w:hAnsi="宋体" w:eastAsia="宋体"/>
          <w:sz w:val="24"/>
          <w:szCs w:val="24"/>
        </w:rPr>
      </w:pPr>
      <w:r>
        <w:rPr>
          <w:rFonts w:ascii="宋体" w:hAnsi="宋体" w:eastAsia="宋体"/>
          <w:sz w:val="24"/>
          <w:szCs w:val="24"/>
        </w:rPr>
        <w:t>4．如我方作为成交人，我方承诺：</w:t>
      </w:r>
    </w:p>
    <w:p>
      <w:pPr>
        <w:spacing w:line="360" w:lineRule="auto"/>
        <w:jc w:val="left"/>
        <w:rPr>
          <w:rFonts w:ascii="宋体" w:hAnsi="宋体" w:eastAsia="宋体"/>
          <w:sz w:val="24"/>
          <w:szCs w:val="24"/>
        </w:rPr>
      </w:pPr>
      <w:r>
        <w:rPr>
          <w:rFonts w:ascii="宋体" w:hAnsi="宋体" w:eastAsia="宋体"/>
          <w:sz w:val="24"/>
          <w:szCs w:val="24"/>
        </w:rPr>
        <w:t>(1)在收到成交通知书后，在成交通知书规定的期限内与你方签订合同；</w:t>
      </w:r>
    </w:p>
    <w:p>
      <w:pPr>
        <w:spacing w:line="360" w:lineRule="auto"/>
        <w:jc w:val="left"/>
        <w:rPr>
          <w:rFonts w:ascii="宋体" w:hAnsi="宋体" w:eastAsia="宋体"/>
          <w:sz w:val="24"/>
          <w:szCs w:val="24"/>
        </w:rPr>
      </w:pPr>
      <w:r>
        <w:rPr>
          <w:rFonts w:ascii="宋体" w:hAnsi="宋体" w:eastAsia="宋体"/>
          <w:sz w:val="24"/>
          <w:szCs w:val="24"/>
        </w:rPr>
        <w:t>(2)在签订合同时不向你方提出附加条件；</w:t>
      </w:r>
    </w:p>
    <w:p>
      <w:pPr>
        <w:spacing w:line="360" w:lineRule="auto"/>
        <w:jc w:val="left"/>
        <w:rPr>
          <w:rFonts w:ascii="宋体" w:hAnsi="宋体" w:eastAsia="宋体"/>
          <w:sz w:val="24"/>
          <w:szCs w:val="24"/>
        </w:rPr>
      </w:pPr>
      <w:r>
        <w:rPr>
          <w:rFonts w:ascii="宋体" w:hAnsi="宋体" w:eastAsia="宋体"/>
          <w:sz w:val="24"/>
          <w:szCs w:val="24"/>
        </w:rPr>
        <w:t>(3)在合同约定的期限内完成合同规定的全部义务；</w:t>
      </w:r>
    </w:p>
    <w:p>
      <w:pPr>
        <w:spacing w:line="360" w:lineRule="auto"/>
        <w:jc w:val="left"/>
        <w:rPr>
          <w:rFonts w:ascii="宋体" w:hAnsi="宋体" w:eastAsia="宋体"/>
          <w:sz w:val="24"/>
          <w:szCs w:val="24"/>
        </w:rPr>
      </w:pPr>
      <w:r>
        <w:rPr>
          <w:rFonts w:ascii="宋体" w:hAnsi="宋体" w:eastAsia="宋体"/>
          <w:sz w:val="24"/>
          <w:szCs w:val="24"/>
        </w:rPr>
        <w:t>(4)我方拟委任的项目</w:t>
      </w:r>
      <w:r>
        <w:rPr>
          <w:rFonts w:hint="eastAsia" w:ascii="宋体" w:hAnsi="宋体" w:eastAsia="宋体"/>
          <w:sz w:val="24"/>
          <w:szCs w:val="24"/>
        </w:rPr>
        <w:t>经理</w:t>
      </w:r>
      <w:r>
        <w:rPr>
          <w:rFonts w:ascii="宋体" w:hAnsi="宋体" w:eastAsia="宋体"/>
          <w:sz w:val="24"/>
          <w:szCs w:val="24"/>
        </w:rPr>
        <w:t>为：</w:t>
      </w:r>
      <w:r>
        <w:rPr>
          <w:rFonts w:ascii="宋体" w:hAnsi="宋体" w:eastAsia="宋体"/>
          <w:sz w:val="24"/>
          <w:szCs w:val="24"/>
          <w:u w:val="single"/>
        </w:rPr>
        <w:t xml:space="preserve"> (姓名) </w:t>
      </w:r>
      <w:r>
        <w:rPr>
          <w:rFonts w:ascii="宋体" w:hAnsi="宋体" w:eastAsia="宋体"/>
          <w:sz w:val="24"/>
          <w:szCs w:val="24"/>
        </w:rPr>
        <w:t>。</w:t>
      </w:r>
    </w:p>
    <w:p>
      <w:pPr>
        <w:spacing w:line="360" w:lineRule="auto"/>
        <w:jc w:val="lef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．我方在此声明，所递交的响应文件及有关资料内容完整、真实和准确，且不存在第二章“</w:t>
      </w:r>
      <w:r>
        <w:rPr>
          <w:rFonts w:hint="eastAsia" w:ascii="宋体" w:hAnsi="宋体" w:eastAsia="宋体"/>
          <w:sz w:val="24"/>
          <w:szCs w:val="24"/>
        </w:rPr>
        <w:t>竞标人</w:t>
      </w:r>
      <w:r>
        <w:rPr>
          <w:rFonts w:ascii="宋体" w:hAnsi="宋体" w:eastAsia="宋体"/>
          <w:sz w:val="24"/>
          <w:szCs w:val="24"/>
        </w:rPr>
        <w:t>须知”第 1.4.3 项规定的任何一种情形。</w:t>
      </w:r>
    </w:p>
    <w:p>
      <w:pPr>
        <w:spacing w:line="360" w:lineRule="auto"/>
        <w:jc w:val="left"/>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．在合同协议书正式签署生效之前，本报价函连同你方的成交通知书将构成我们双方之间共同遵守的文件，对双方具有约束力。</w:t>
      </w:r>
    </w:p>
    <w:p>
      <w:pPr>
        <w:spacing w:line="360" w:lineRule="auto"/>
        <w:jc w:val="left"/>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其他</w:t>
      </w:r>
      <w:r>
        <w:rPr>
          <w:rFonts w:ascii="宋体" w:hAnsi="宋体" w:eastAsia="宋体"/>
          <w:sz w:val="24"/>
          <w:szCs w:val="24"/>
        </w:rPr>
        <w:t>补充说明)。</w:t>
      </w:r>
    </w:p>
    <w:p>
      <w:pPr>
        <w:spacing w:line="360" w:lineRule="auto"/>
        <w:jc w:val="left"/>
        <w:rPr>
          <w:rFonts w:ascii="宋体" w:hAnsi="宋体" w:eastAsia="宋体"/>
          <w:sz w:val="24"/>
          <w:szCs w:val="24"/>
        </w:rPr>
      </w:pPr>
    </w:p>
    <w:p>
      <w:pPr>
        <w:spacing w:line="360" w:lineRule="auto"/>
        <w:jc w:val="left"/>
        <w:rPr>
          <w:rFonts w:ascii="宋体" w:hAnsi="宋体" w:eastAsia="宋体" w:cs="宋体"/>
          <w:bCs/>
          <w:sz w:val="24"/>
          <w:szCs w:val="24"/>
        </w:rPr>
      </w:pPr>
    </w:p>
    <w:p>
      <w:pPr>
        <w:spacing w:line="360" w:lineRule="auto"/>
        <w:jc w:val="center"/>
        <w:rPr>
          <w:rFonts w:ascii="宋体" w:hAnsi="宋体" w:eastAsia="宋体" w:cs="宋体"/>
          <w:bCs/>
          <w:sz w:val="24"/>
          <w:szCs w:val="24"/>
        </w:rPr>
      </w:pPr>
      <w:r>
        <w:rPr>
          <w:rFonts w:hint="eastAsia" w:ascii="宋体" w:hAnsi="宋体" w:eastAsia="宋体" w:cs="宋体"/>
          <w:bCs/>
          <w:sz w:val="24"/>
          <w:szCs w:val="24"/>
        </w:rPr>
        <w:t xml:space="preserve">竞 标 人： </w:t>
      </w:r>
      <w:r>
        <w:rPr>
          <w:rFonts w:hint="eastAsia" w:ascii="宋体" w:hAnsi="宋体" w:eastAsia="宋体" w:cs="宋体"/>
          <w:bCs/>
          <w:sz w:val="24"/>
          <w:szCs w:val="24"/>
        </w:rPr>
        <w:tab/>
      </w:r>
      <w:r>
        <w:rPr>
          <w:rFonts w:hint="eastAsia" w:ascii="宋体" w:hAnsi="宋体" w:eastAsia="宋体" w:cs="宋体"/>
          <w:bCs/>
          <w:sz w:val="24"/>
          <w:szCs w:val="24"/>
        </w:rPr>
        <w:t>（盖单位章）</w:t>
      </w:r>
    </w:p>
    <w:p>
      <w:pPr>
        <w:spacing w:line="360" w:lineRule="auto"/>
        <w:jc w:val="center"/>
        <w:rPr>
          <w:rFonts w:ascii="宋体" w:hAnsi="宋体" w:eastAsia="宋体" w:cs="宋体"/>
          <w:bCs/>
          <w:sz w:val="24"/>
          <w:szCs w:val="24"/>
        </w:rPr>
      </w:pPr>
      <w:r>
        <w:rPr>
          <w:rFonts w:hint="eastAsia" w:ascii="宋体" w:hAnsi="宋体" w:eastAsia="宋体" w:cs="宋体"/>
          <w:bCs/>
          <w:sz w:val="24"/>
          <w:szCs w:val="24"/>
        </w:rPr>
        <w:t xml:space="preserve">                         法定代表人（单位负责人）或其委托代理人： </w:t>
      </w:r>
      <w:r>
        <w:rPr>
          <w:rFonts w:hint="eastAsia" w:ascii="宋体" w:hAnsi="宋体" w:eastAsia="宋体" w:cs="宋体"/>
          <w:bCs/>
          <w:sz w:val="24"/>
          <w:szCs w:val="24"/>
        </w:rPr>
        <w:tab/>
      </w:r>
      <w:r>
        <w:rPr>
          <w:rFonts w:ascii="宋体" w:hAnsi="宋体" w:eastAsia="宋体" w:cs="宋体"/>
          <w:bCs/>
          <w:sz w:val="24"/>
          <w:szCs w:val="24"/>
        </w:rPr>
        <w:t xml:space="preserve"> </w:t>
      </w:r>
      <w:r>
        <w:rPr>
          <w:rFonts w:hint="eastAsia" w:ascii="宋体" w:hAnsi="宋体" w:eastAsia="宋体" w:cs="宋体"/>
          <w:bCs/>
          <w:sz w:val="24"/>
          <w:szCs w:val="24"/>
        </w:rPr>
        <w:t>（签字）</w:t>
      </w:r>
    </w:p>
    <w:p>
      <w:pPr>
        <w:spacing w:line="360" w:lineRule="auto"/>
        <w:ind w:firstLine="3000" w:firstLineChars="1250"/>
        <w:rPr>
          <w:rFonts w:ascii="宋体" w:hAnsi="宋体" w:eastAsia="宋体" w:cs="宋体"/>
          <w:bCs/>
          <w:sz w:val="24"/>
          <w:szCs w:val="24"/>
        </w:rPr>
      </w:pPr>
      <w:r>
        <w:rPr>
          <w:rFonts w:hint="eastAsia" w:ascii="宋体" w:hAnsi="宋体" w:eastAsia="宋体" w:cs="宋体"/>
          <w:bCs/>
          <w:sz w:val="24"/>
          <w:szCs w:val="24"/>
        </w:rPr>
        <w:t>地</w:t>
      </w:r>
      <w:r>
        <w:rPr>
          <w:rFonts w:hint="eastAsia" w:ascii="宋体" w:hAnsi="宋体" w:eastAsia="宋体" w:cs="宋体"/>
          <w:bCs/>
          <w:sz w:val="24"/>
          <w:szCs w:val="24"/>
        </w:rPr>
        <w:tab/>
      </w:r>
      <w:r>
        <w:rPr>
          <w:rFonts w:hint="eastAsia" w:ascii="宋体" w:hAnsi="宋体" w:eastAsia="宋体" w:cs="宋体"/>
          <w:bCs/>
          <w:sz w:val="24"/>
          <w:szCs w:val="24"/>
        </w:rPr>
        <w:t>址：</w:t>
      </w:r>
    </w:p>
    <w:p>
      <w:pPr>
        <w:spacing w:line="360" w:lineRule="auto"/>
        <w:ind w:firstLine="3000" w:firstLineChars="1250"/>
        <w:rPr>
          <w:rFonts w:ascii="宋体" w:hAnsi="宋体" w:eastAsia="宋体" w:cs="宋体"/>
          <w:bCs/>
          <w:sz w:val="24"/>
          <w:szCs w:val="24"/>
        </w:rPr>
      </w:pPr>
      <w:r>
        <w:rPr>
          <w:rFonts w:hint="eastAsia" w:ascii="宋体" w:hAnsi="宋体" w:eastAsia="宋体" w:cs="宋体"/>
          <w:bCs/>
          <w:sz w:val="24"/>
          <w:szCs w:val="24"/>
        </w:rPr>
        <w:t>电</w:t>
      </w:r>
      <w:r>
        <w:rPr>
          <w:rFonts w:hint="eastAsia" w:ascii="宋体" w:hAnsi="宋体" w:eastAsia="宋体" w:cs="宋体"/>
          <w:bCs/>
          <w:sz w:val="24"/>
          <w:szCs w:val="24"/>
        </w:rPr>
        <w:tab/>
      </w:r>
      <w:r>
        <w:rPr>
          <w:rFonts w:hint="eastAsia" w:ascii="宋体" w:hAnsi="宋体" w:eastAsia="宋体" w:cs="宋体"/>
          <w:bCs/>
          <w:sz w:val="24"/>
          <w:szCs w:val="24"/>
        </w:rPr>
        <w:t>话：</w:t>
      </w:r>
    </w:p>
    <w:p>
      <w:pPr>
        <w:spacing w:line="360" w:lineRule="auto"/>
        <w:ind w:firstLine="3000" w:firstLineChars="1250"/>
        <w:rPr>
          <w:rFonts w:ascii="宋体" w:hAnsi="宋体" w:eastAsia="宋体" w:cs="宋体"/>
          <w:bCs/>
          <w:sz w:val="24"/>
          <w:szCs w:val="24"/>
        </w:rPr>
      </w:pPr>
      <w:r>
        <w:rPr>
          <w:rFonts w:hint="eastAsia" w:ascii="宋体" w:hAnsi="宋体" w:eastAsia="宋体" w:cs="宋体"/>
          <w:bCs/>
          <w:sz w:val="24"/>
          <w:szCs w:val="24"/>
        </w:rPr>
        <w:t>传</w:t>
      </w:r>
      <w:r>
        <w:rPr>
          <w:rFonts w:hint="eastAsia" w:ascii="宋体" w:hAnsi="宋体" w:eastAsia="宋体" w:cs="宋体"/>
          <w:bCs/>
          <w:sz w:val="24"/>
          <w:szCs w:val="24"/>
        </w:rPr>
        <w:tab/>
      </w:r>
      <w:r>
        <w:rPr>
          <w:rFonts w:hint="eastAsia" w:ascii="宋体" w:hAnsi="宋体" w:eastAsia="宋体" w:cs="宋体"/>
          <w:bCs/>
          <w:sz w:val="24"/>
          <w:szCs w:val="24"/>
        </w:rPr>
        <w:t>真：</w:t>
      </w:r>
    </w:p>
    <w:p>
      <w:pPr>
        <w:spacing w:line="360" w:lineRule="auto"/>
        <w:ind w:firstLine="3000" w:firstLineChars="1250"/>
        <w:rPr>
          <w:rFonts w:ascii="宋体" w:hAnsi="宋体" w:eastAsia="宋体" w:cs="宋体"/>
          <w:bCs/>
          <w:sz w:val="24"/>
          <w:szCs w:val="24"/>
        </w:rPr>
      </w:pPr>
      <w:r>
        <w:rPr>
          <w:rFonts w:hint="eastAsia" w:ascii="宋体" w:hAnsi="宋体" w:eastAsia="宋体" w:cs="宋体"/>
          <w:bCs/>
          <w:sz w:val="24"/>
          <w:szCs w:val="24"/>
        </w:rPr>
        <w:t>邮政编码：</w:t>
      </w:r>
    </w:p>
    <w:p>
      <w:pPr>
        <w:keepNext/>
        <w:keepLines/>
        <w:spacing w:line="360" w:lineRule="auto"/>
        <w:ind w:firstLine="6840" w:firstLineChars="2850"/>
        <w:jc w:val="left"/>
        <w:outlineLvl w:val="1"/>
        <w:rPr>
          <w:rFonts w:ascii="宋体" w:hAnsi="宋体" w:eastAsia="宋体"/>
          <w:bCs/>
          <w:sz w:val="24"/>
          <w:szCs w:val="24"/>
        </w:rPr>
        <w:sectPr>
          <w:footerReference r:id="rId15" w:type="default"/>
          <w:pgSz w:w="11906" w:h="16838"/>
          <w:pgMar w:top="1417" w:right="1417" w:bottom="1417" w:left="1417" w:header="850" w:footer="850" w:gutter="0"/>
          <w:cols w:space="720" w:num="1"/>
          <w:docGrid w:linePitch="312" w:charSpace="0"/>
        </w:sectPr>
      </w:pPr>
      <w:r>
        <w:rPr>
          <w:rFonts w:hint="eastAsia" w:ascii="宋体" w:hAnsi="宋体" w:eastAsia="宋体" w:cs="宋体"/>
          <w:sz w:val="24"/>
          <w:szCs w:val="24"/>
        </w:rPr>
        <w:t xml:space="preserve">年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rPr>
        <w:tab/>
      </w:r>
      <w:r>
        <w:rPr>
          <w:rFonts w:ascii="宋体" w:hAnsi="宋体" w:eastAsia="宋体" w:cs="宋体"/>
          <w:sz w:val="24"/>
          <w:szCs w:val="24"/>
        </w:rPr>
        <w:t xml:space="preserve"> </w:t>
      </w:r>
      <w:r>
        <w:rPr>
          <w:rFonts w:hint="eastAsia" w:ascii="宋体" w:hAnsi="宋体" w:eastAsia="宋体" w:cs="宋体"/>
          <w:sz w:val="24"/>
          <w:szCs w:val="24"/>
        </w:rPr>
        <w:t>日</w:t>
      </w:r>
    </w:p>
    <w:p>
      <w:pPr>
        <w:tabs>
          <w:tab w:val="left" w:pos="-1680"/>
        </w:tabs>
        <w:spacing w:line="360" w:lineRule="auto"/>
        <w:jc w:val="center"/>
        <w:rPr>
          <w:rFonts w:ascii="黑体" w:hAnsi="黑体" w:eastAsia="黑体" w:cs="黑体"/>
        </w:rPr>
      </w:pPr>
      <w:r>
        <w:rPr>
          <w:rFonts w:hint="eastAsia" w:ascii="黑体" w:hAnsi="黑体" w:eastAsia="黑体" w:cs="黑体"/>
        </w:rPr>
        <w:t>报价清单</w:t>
      </w:r>
    </w:p>
    <w:p>
      <w:pPr>
        <w:spacing w:line="360" w:lineRule="auto"/>
        <w:jc w:val="center"/>
        <w:rPr>
          <w:rFonts w:ascii="宋体" w:hAnsi="宋体" w:eastAsia="宋体"/>
          <w:b/>
          <w:sz w:val="24"/>
          <w:szCs w:val="24"/>
        </w:rPr>
      </w:pPr>
      <w:r>
        <w:rPr>
          <w:rFonts w:ascii="宋体" w:hAnsi="宋体" w:eastAsia="宋体"/>
          <w:b/>
          <w:sz w:val="24"/>
          <w:szCs w:val="24"/>
        </w:rPr>
        <w:t>A</w:t>
      </w:r>
      <w:r>
        <w:rPr>
          <w:rFonts w:hint="eastAsia" w:ascii="宋体" w:hAnsi="宋体" w:eastAsia="宋体"/>
          <w:b/>
          <w:sz w:val="24"/>
          <w:szCs w:val="24"/>
        </w:rPr>
        <w:t>．说</w:t>
      </w:r>
      <w:r>
        <w:rPr>
          <w:rFonts w:ascii="宋体" w:hAnsi="宋体" w:eastAsia="宋体"/>
          <w:b/>
          <w:sz w:val="24"/>
          <w:szCs w:val="24"/>
        </w:rPr>
        <w:t xml:space="preserve">  </w:t>
      </w:r>
      <w:r>
        <w:rPr>
          <w:rFonts w:hint="eastAsia" w:ascii="宋体" w:hAnsi="宋体" w:eastAsia="宋体"/>
          <w:b/>
          <w:sz w:val="24"/>
          <w:szCs w:val="24"/>
        </w:rPr>
        <w:t>明</w:t>
      </w:r>
    </w:p>
    <w:p>
      <w:pPr>
        <w:spacing w:line="360" w:lineRule="auto"/>
        <w:ind w:firstLine="420" w:firstLineChars="200"/>
        <w:jc w:val="left"/>
        <w:rPr>
          <w:rFonts w:ascii="宋体" w:hAnsi="宋体" w:eastAsia="宋体" w:cs="宋体"/>
          <w:bCs/>
          <w:sz w:val="21"/>
          <w:szCs w:val="21"/>
        </w:rPr>
      </w:pPr>
      <w:r>
        <w:rPr>
          <w:rFonts w:hint="eastAsia" w:ascii="宋体" w:hAnsi="宋体" w:eastAsia="宋体" w:cs="宋体"/>
          <w:bCs/>
          <w:sz w:val="21"/>
          <w:szCs w:val="21"/>
        </w:rPr>
        <w:t>1、竞标人应根据自身实际生产和服务能力填写工程量清单报价表中各子目的综合单价。</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2、竞标人在工程量清单报价表中填写的综合单价应为人工费、材料费、运输费、保险费、质保期及询比文件所要求的相关服务等全过程产生的所有成本和费用以及一切税费(增值税</w:t>
      </w:r>
      <w:r>
        <w:rPr>
          <w:rFonts w:ascii="宋体" w:hAnsi="宋体" w:eastAsia="宋体" w:cs="宋体"/>
          <w:bCs/>
          <w:sz w:val="21"/>
          <w:szCs w:val="21"/>
        </w:rPr>
        <w:t>专票</w:t>
      </w:r>
      <w:r>
        <w:rPr>
          <w:rFonts w:hint="eastAsia" w:ascii="宋体" w:hAnsi="宋体" w:eastAsia="宋体" w:cs="宋体"/>
          <w:bCs/>
          <w:sz w:val="21"/>
          <w:szCs w:val="21"/>
        </w:rPr>
        <w:t>税</w:t>
      </w:r>
      <w:r>
        <w:rPr>
          <w:rFonts w:ascii="宋体" w:hAnsi="宋体" w:eastAsia="宋体" w:cs="宋体"/>
          <w:bCs/>
          <w:sz w:val="21"/>
          <w:szCs w:val="21"/>
        </w:rPr>
        <w:t>点</w:t>
      </w:r>
      <w:r>
        <w:rPr>
          <w:rFonts w:hint="eastAsia" w:ascii="宋体" w:hAnsi="宋体" w:eastAsia="宋体" w:cs="宋体"/>
          <w:bCs/>
          <w:sz w:val="21"/>
          <w:szCs w:val="21"/>
        </w:rPr>
        <w:t>)、风险等费用，在合同履行期间不得以任何理由提出综合单价变更的请求。</w:t>
      </w:r>
    </w:p>
    <w:p>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3、2019年6、7、8、10月分别对各服务区完成一次消杀，2020年第一季度及5月分别完成一次消杀。2</w:t>
      </w:r>
      <w:r>
        <w:rPr>
          <w:rFonts w:ascii="宋体" w:hAnsi="宋体" w:eastAsia="宋体" w:cs="宋体"/>
          <w:bCs/>
          <w:sz w:val="21"/>
          <w:szCs w:val="21"/>
        </w:rPr>
        <w:t>019-2020</w:t>
      </w:r>
      <w:r>
        <w:rPr>
          <w:rFonts w:hint="eastAsia" w:ascii="宋体" w:hAnsi="宋体" w:eastAsia="宋体" w:cs="宋体"/>
          <w:bCs/>
          <w:sz w:val="21"/>
          <w:szCs w:val="21"/>
        </w:rPr>
        <w:t>年对</w:t>
      </w:r>
      <w:r>
        <w:rPr>
          <w:rFonts w:ascii="宋体" w:hAnsi="宋体" w:eastAsia="宋体" w:cs="宋体"/>
          <w:bCs/>
          <w:sz w:val="21"/>
          <w:szCs w:val="21"/>
        </w:rPr>
        <w:t>每个服务区</w:t>
      </w:r>
      <w:r>
        <w:rPr>
          <w:rFonts w:hint="eastAsia" w:ascii="宋体" w:hAnsi="宋体" w:eastAsia="宋体" w:cs="宋体"/>
          <w:bCs/>
          <w:sz w:val="21"/>
          <w:szCs w:val="21"/>
        </w:rPr>
        <w:t>共计完成6次四害消杀（</w:t>
      </w:r>
      <w:r>
        <w:rPr>
          <w:rFonts w:ascii="宋体" w:hAnsi="宋体" w:eastAsia="宋体" w:cs="宋体"/>
          <w:bCs/>
          <w:sz w:val="21"/>
          <w:szCs w:val="21"/>
        </w:rPr>
        <w:t>68</w:t>
      </w:r>
      <w:r>
        <w:rPr>
          <w:rFonts w:hint="eastAsia" w:ascii="宋体" w:hAnsi="宋体" w:eastAsia="宋体" w:cs="宋体"/>
          <w:bCs/>
          <w:sz w:val="21"/>
          <w:szCs w:val="21"/>
        </w:rPr>
        <w:t>对</w:t>
      </w:r>
      <w:r>
        <w:rPr>
          <w:rFonts w:ascii="宋体" w:hAnsi="宋体" w:eastAsia="宋体" w:cs="宋体"/>
          <w:bCs/>
          <w:sz w:val="21"/>
          <w:szCs w:val="21"/>
        </w:rPr>
        <w:t>服务区</w:t>
      </w:r>
      <w:r>
        <w:rPr>
          <w:rFonts w:hint="eastAsia" w:ascii="宋体" w:hAnsi="宋体" w:eastAsia="宋体" w:cs="宋体"/>
          <w:bCs/>
          <w:sz w:val="21"/>
          <w:szCs w:val="21"/>
        </w:rPr>
        <w:t>*6次/对</w:t>
      </w:r>
      <w:r>
        <w:rPr>
          <w:rFonts w:ascii="宋体" w:hAnsi="宋体" w:eastAsia="宋体" w:cs="宋体"/>
          <w:bCs/>
          <w:sz w:val="21"/>
          <w:szCs w:val="21"/>
        </w:rPr>
        <w:t>服务区</w:t>
      </w:r>
      <w:r>
        <w:rPr>
          <w:rFonts w:hint="eastAsia" w:ascii="宋体" w:hAnsi="宋体" w:eastAsia="宋体" w:cs="宋体"/>
          <w:bCs/>
          <w:sz w:val="21"/>
          <w:szCs w:val="21"/>
        </w:rPr>
        <w:t>=</w:t>
      </w:r>
      <w:r>
        <w:rPr>
          <w:rFonts w:ascii="宋体" w:hAnsi="宋体" w:eastAsia="宋体" w:cs="宋体"/>
          <w:bCs/>
          <w:sz w:val="21"/>
          <w:szCs w:val="21"/>
        </w:rPr>
        <w:t>408</w:t>
      </w:r>
      <w:r>
        <w:rPr>
          <w:rFonts w:hint="eastAsia" w:ascii="宋体" w:hAnsi="宋体" w:eastAsia="宋体" w:cs="宋体"/>
          <w:bCs/>
          <w:sz w:val="21"/>
          <w:szCs w:val="21"/>
        </w:rPr>
        <w:t>次</w:t>
      </w:r>
      <w:r>
        <w:rPr>
          <w:rFonts w:ascii="宋体" w:hAnsi="宋体" w:eastAsia="宋体" w:cs="宋体"/>
          <w:bCs/>
          <w:sz w:val="21"/>
          <w:szCs w:val="21"/>
        </w:rPr>
        <w:t>）</w:t>
      </w:r>
      <w:r>
        <w:rPr>
          <w:rFonts w:hint="eastAsia" w:ascii="宋体" w:hAnsi="宋体" w:eastAsia="宋体" w:cs="宋体"/>
          <w:bCs/>
          <w:sz w:val="21"/>
          <w:szCs w:val="21"/>
        </w:rPr>
        <w:t xml:space="preserve">。如消杀完成后一个月内未能经服务区验收通过的，需24小时内无偿进行二次消杀。四害消杀标准须达到国爱卫会消杀标准，所用消杀药物也应达到国爱卫会消杀指定药物。本次询价供货商品应符合国家相关标准，供货商品均为正品。 </w:t>
      </w:r>
    </w:p>
    <w:p>
      <w:pPr>
        <w:spacing w:line="360" w:lineRule="auto"/>
        <w:ind w:firstLine="420" w:firstLineChars="200"/>
        <w:jc w:val="left"/>
        <w:rPr>
          <w:rFonts w:ascii="宋体" w:hAnsi="宋体" w:eastAsia="宋体" w:cs="宋体"/>
          <w:bCs/>
          <w:sz w:val="21"/>
          <w:szCs w:val="21"/>
        </w:rPr>
      </w:pPr>
      <w:r>
        <w:rPr>
          <w:rFonts w:hint="eastAsia" w:ascii="宋体" w:hAnsi="宋体" w:eastAsia="宋体" w:cs="宋体"/>
          <w:bCs/>
          <w:sz w:val="21"/>
          <w:szCs w:val="21"/>
        </w:rPr>
        <w:t>4、工程量清单报价表中综合单价在合同履行期间不调整。</w:t>
      </w:r>
    </w:p>
    <w:p>
      <w:pPr>
        <w:spacing w:line="360" w:lineRule="auto"/>
        <w:ind w:firstLine="420" w:firstLineChars="200"/>
        <w:jc w:val="left"/>
        <w:rPr>
          <w:rFonts w:ascii="宋体" w:hAnsi="宋体" w:eastAsia="宋体" w:cs="宋体"/>
          <w:bCs/>
          <w:sz w:val="21"/>
          <w:szCs w:val="21"/>
        </w:rPr>
      </w:pPr>
      <w:r>
        <w:rPr>
          <w:rFonts w:hint="eastAsia" w:ascii="宋体" w:hAnsi="宋体" w:eastAsia="宋体" w:cs="宋体"/>
          <w:bCs/>
          <w:sz w:val="21"/>
          <w:szCs w:val="21"/>
        </w:rPr>
        <w:t>5、工程量清单报价表中的各项费用均以人民币(元)结算。</w:t>
      </w:r>
    </w:p>
    <w:p>
      <w:pPr>
        <w:autoSpaceDE w:val="0"/>
        <w:autoSpaceDN w:val="0"/>
        <w:adjustRightInd w:val="0"/>
        <w:spacing w:line="360" w:lineRule="auto"/>
        <w:ind w:firstLine="475" w:firstLineChars="197"/>
        <w:jc w:val="left"/>
        <w:rPr>
          <w:rFonts w:ascii="宋体" w:hAnsi="宋体" w:eastAsia="宋体" w:cs="宋体"/>
          <w:b/>
          <w:bCs/>
          <w:color w:val="FF0000"/>
          <w:sz w:val="24"/>
          <w:szCs w:val="24"/>
        </w:rPr>
      </w:pPr>
    </w:p>
    <w:p>
      <w:pPr>
        <w:autoSpaceDE w:val="0"/>
        <w:autoSpaceDN w:val="0"/>
        <w:adjustRightInd w:val="0"/>
        <w:spacing w:line="360" w:lineRule="auto"/>
        <w:ind w:firstLine="475" w:firstLineChars="197"/>
        <w:jc w:val="left"/>
        <w:rPr>
          <w:rFonts w:ascii="宋体" w:hAnsi="宋体" w:eastAsia="宋体" w:cs="宋体"/>
          <w:b/>
          <w:bCs/>
          <w:color w:val="FF0000"/>
          <w:sz w:val="24"/>
          <w:szCs w:val="24"/>
        </w:rPr>
      </w:pPr>
    </w:p>
    <w:p>
      <w:pPr>
        <w:autoSpaceDE w:val="0"/>
        <w:autoSpaceDN w:val="0"/>
        <w:adjustRightInd w:val="0"/>
        <w:spacing w:line="360" w:lineRule="auto"/>
        <w:ind w:firstLine="475" w:firstLineChars="197"/>
        <w:jc w:val="left"/>
        <w:rPr>
          <w:rFonts w:ascii="宋体" w:hAnsi="宋体" w:eastAsia="宋体" w:cs="宋体"/>
          <w:b/>
          <w:bCs/>
          <w:color w:val="FF0000"/>
          <w:sz w:val="24"/>
          <w:szCs w:val="24"/>
        </w:rPr>
      </w:pPr>
    </w:p>
    <w:p>
      <w:pPr>
        <w:autoSpaceDE w:val="0"/>
        <w:autoSpaceDN w:val="0"/>
        <w:adjustRightInd w:val="0"/>
        <w:spacing w:line="360" w:lineRule="auto"/>
        <w:ind w:firstLine="475" w:firstLineChars="197"/>
        <w:jc w:val="left"/>
        <w:rPr>
          <w:rFonts w:ascii="宋体" w:hAnsi="宋体" w:eastAsia="宋体" w:cs="宋体"/>
          <w:b/>
          <w:bCs/>
          <w:color w:val="FF0000"/>
          <w:sz w:val="24"/>
          <w:szCs w:val="24"/>
        </w:rPr>
      </w:pPr>
    </w:p>
    <w:p>
      <w:pPr>
        <w:autoSpaceDE w:val="0"/>
        <w:autoSpaceDN w:val="0"/>
        <w:adjustRightInd w:val="0"/>
        <w:spacing w:line="360" w:lineRule="auto"/>
        <w:ind w:firstLine="475" w:firstLineChars="197"/>
        <w:jc w:val="left"/>
        <w:rPr>
          <w:rFonts w:ascii="宋体" w:hAnsi="宋体" w:eastAsia="宋体" w:cs="宋体"/>
          <w:b/>
          <w:bCs/>
          <w:color w:val="FF0000"/>
          <w:sz w:val="24"/>
          <w:szCs w:val="24"/>
        </w:rPr>
      </w:pPr>
    </w:p>
    <w:p>
      <w:pPr>
        <w:autoSpaceDE w:val="0"/>
        <w:autoSpaceDN w:val="0"/>
        <w:adjustRightInd w:val="0"/>
        <w:spacing w:line="360" w:lineRule="auto"/>
        <w:ind w:firstLine="475" w:firstLineChars="197"/>
        <w:jc w:val="left"/>
        <w:rPr>
          <w:rFonts w:ascii="宋体" w:hAnsi="宋体" w:eastAsia="宋体" w:cs="宋体"/>
          <w:b/>
          <w:bCs/>
          <w:color w:val="FF0000"/>
          <w:sz w:val="24"/>
          <w:szCs w:val="24"/>
        </w:rPr>
      </w:pPr>
    </w:p>
    <w:p>
      <w:pPr>
        <w:autoSpaceDE w:val="0"/>
        <w:autoSpaceDN w:val="0"/>
        <w:adjustRightInd w:val="0"/>
        <w:spacing w:line="360" w:lineRule="auto"/>
        <w:ind w:firstLine="475" w:firstLineChars="197"/>
        <w:jc w:val="left"/>
        <w:rPr>
          <w:rFonts w:ascii="宋体" w:hAnsi="宋体" w:eastAsia="宋体" w:cs="宋体"/>
          <w:b/>
          <w:bCs/>
          <w:color w:val="FF0000"/>
          <w:sz w:val="24"/>
          <w:szCs w:val="24"/>
        </w:rPr>
      </w:pPr>
    </w:p>
    <w:p>
      <w:pPr>
        <w:autoSpaceDE w:val="0"/>
        <w:autoSpaceDN w:val="0"/>
        <w:adjustRightInd w:val="0"/>
        <w:spacing w:line="360" w:lineRule="auto"/>
        <w:ind w:firstLine="475" w:firstLineChars="197"/>
        <w:jc w:val="left"/>
        <w:rPr>
          <w:rFonts w:ascii="宋体" w:hAnsi="宋体" w:eastAsia="宋体" w:cs="宋体"/>
          <w:b/>
          <w:bCs/>
          <w:color w:val="FF0000"/>
          <w:sz w:val="24"/>
          <w:szCs w:val="24"/>
        </w:rPr>
      </w:pPr>
    </w:p>
    <w:p>
      <w:pPr>
        <w:autoSpaceDE w:val="0"/>
        <w:autoSpaceDN w:val="0"/>
        <w:adjustRightInd w:val="0"/>
        <w:spacing w:line="360" w:lineRule="auto"/>
        <w:ind w:firstLine="475" w:firstLineChars="197"/>
        <w:jc w:val="left"/>
        <w:rPr>
          <w:rFonts w:ascii="宋体" w:hAnsi="宋体" w:eastAsia="宋体" w:cs="宋体"/>
          <w:b/>
          <w:bCs/>
          <w:color w:val="FF0000"/>
          <w:sz w:val="24"/>
          <w:szCs w:val="24"/>
        </w:rPr>
      </w:pPr>
    </w:p>
    <w:p>
      <w:pPr>
        <w:autoSpaceDE w:val="0"/>
        <w:autoSpaceDN w:val="0"/>
        <w:adjustRightInd w:val="0"/>
        <w:spacing w:line="360" w:lineRule="auto"/>
        <w:ind w:firstLine="475" w:firstLineChars="197"/>
        <w:jc w:val="left"/>
        <w:rPr>
          <w:rFonts w:ascii="宋体" w:hAnsi="宋体" w:eastAsia="宋体" w:cs="宋体"/>
          <w:b/>
          <w:bCs/>
          <w:color w:val="FF0000"/>
          <w:sz w:val="24"/>
          <w:szCs w:val="24"/>
        </w:rPr>
      </w:pPr>
    </w:p>
    <w:p>
      <w:pPr>
        <w:autoSpaceDE w:val="0"/>
        <w:autoSpaceDN w:val="0"/>
        <w:adjustRightInd w:val="0"/>
        <w:spacing w:line="360" w:lineRule="auto"/>
        <w:ind w:firstLine="475" w:firstLineChars="197"/>
        <w:jc w:val="left"/>
        <w:rPr>
          <w:rFonts w:ascii="宋体" w:hAnsi="宋体" w:eastAsia="宋体" w:cs="宋体"/>
          <w:b/>
          <w:bCs/>
          <w:color w:val="FF0000"/>
          <w:sz w:val="24"/>
          <w:szCs w:val="24"/>
        </w:rPr>
      </w:pPr>
    </w:p>
    <w:p>
      <w:pPr>
        <w:autoSpaceDE w:val="0"/>
        <w:autoSpaceDN w:val="0"/>
        <w:adjustRightInd w:val="0"/>
        <w:spacing w:line="360" w:lineRule="auto"/>
        <w:ind w:firstLine="475" w:firstLineChars="197"/>
        <w:jc w:val="left"/>
        <w:rPr>
          <w:rFonts w:ascii="宋体" w:hAnsi="宋体" w:eastAsia="宋体" w:cs="宋体"/>
          <w:b/>
          <w:bCs/>
          <w:color w:val="FF0000"/>
          <w:sz w:val="24"/>
          <w:szCs w:val="24"/>
        </w:rPr>
      </w:pPr>
    </w:p>
    <w:p>
      <w:pPr>
        <w:autoSpaceDE w:val="0"/>
        <w:autoSpaceDN w:val="0"/>
        <w:adjustRightInd w:val="0"/>
        <w:spacing w:line="360" w:lineRule="auto"/>
        <w:ind w:firstLine="475" w:firstLineChars="197"/>
        <w:jc w:val="left"/>
        <w:rPr>
          <w:rFonts w:ascii="宋体" w:hAnsi="宋体" w:eastAsia="宋体" w:cs="宋体"/>
          <w:b/>
          <w:bCs/>
          <w:color w:val="FF0000"/>
          <w:sz w:val="24"/>
          <w:szCs w:val="24"/>
        </w:rPr>
      </w:pPr>
    </w:p>
    <w:p>
      <w:pPr>
        <w:autoSpaceDE w:val="0"/>
        <w:autoSpaceDN w:val="0"/>
        <w:adjustRightInd w:val="0"/>
        <w:spacing w:line="360" w:lineRule="auto"/>
        <w:ind w:firstLine="475" w:firstLineChars="197"/>
        <w:jc w:val="left"/>
        <w:rPr>
          <w:rFonts w:ascii="宋体" w:hAnsi="宋体" w:eastAsia="宋体" w:cs="宋体"/>
          <w:b/>
          <w:bCs/>
          <w:color w:val="FF0000"/>
          <w:sz w:val="24"/>
          <w:szCs w:val="24"/>
        </w:rPr>
      </w:pPr>
    </w:p>
    <w:p>
      <w:pPr>
        <w:autoSpaceDE w:val="0"/>
        <w:autoSpaceDN w:val="0"/>
        <w:adjustRightInd w:val="0"/>
        <w:spacing w:line="360" w:lineRule="auto"/>
        <w:ind w:firstLine="475" w:firstLineChars="197"/>
        <w:jc w:val="left"/>
        <w:rPr>
          <w:rFonts w:ascii="宋体" w:hAnsi="宋体" w:eastAsia="宋体" w:cs="宋体"/>
          <w:b/>
          <w:bCs/>
          <w:color w:val="FF0000"/>
          <w:sz w:val="24"/>
          <w:szCs w:val="24"/>
        </w:rPr>
      </w:pPr>
    </w:p>
    <w:tbl>
      <w:tblPr>
        <w:tblStyle w:val="26"/>
        <w:tblW w:w="9550" w:type="dxa"/>
        <w:tblInd w:w="-469" w:type="dxa"/>
        <w:tblLayout w:type="fixed"/>
        <w:tblCellMar>
          <w:top w:w="0" w:type="dxa"/>
          <w:left w:w="108" w:type="dxa"/>
          <w:bottom w:w="0" w:type="dxa"/>
          <w:right w:w="108" w:type="dxa"/>
        </w:tblCellMar>
      </w:tblPr>
      <w:tblGrid>
        <w:gridCol w:w="626"/>
        <w:gridCol w:w="987"/>
        <w:gridCol w:w="4367"/>
        <w:gridCol w:w="675"/>
        <w:gridCol w:w="605"/>
        <w:gridCol w:w="1074"/>
        <w:gridCol w:w="1216"/>
      </w:tblGrid>
      <w:tr>
        <w:tblPrEx>
          <w:tblLayout w:type="fixed"/>
          <w:tblCellMar>
            <w:top w:w="0" w:type="dxa"/>
            <w:left w:w="108" w:type="dxa"/>
            <w:bottom w:w="0" w:type="dxa"/>
            <w:right w:w="108" w:type="dxa"/>
          </w:tblCellMar>
        </w:tblPrEx>
        <w:trPr>
          <w:trHeight w:val="688" w:hRule="atLeast"/>
        </w:trPr>
        <w:tc>
          <w:tcPr>
            <w:tcW w:w="6655" w:type="dxa"/>
            <w:gridSpan w:val="4"/>
            <w:tcBorders>
              <w:top w:val="nil"/>
              <w:left w:val="nil"/>
              <w:bottom w:val="nil"/>
              <w:right w:val="nil"/>
            </w:tcBorders>
            <w:vAlign w:val="center"/>
          </w:tcPr>
          <w:p>
            <w:pPr>
              <w:widowControl/>
              <w:ind w:firstLine="3614" w:firstLineChars="1200"/>
              <w:rPr>
                <w:rFonts w:ascii="宋体" w:hAnsi="宋体" w:eastAsia="宋体" w:cs="宋体"/>
                <w:b/>
                <w:bCs/>
                <w:kern w:val="0"/>
                <w:sz w:val="30"/>
                <w:szCs w:val="30"/>
              </w:rPr>
            </w:pPr>
            <w:r>
              <w:rPr>
                <w:rFonts w:hint="eastAsia" w:ascii="宋体" w:hAnsi="宋体" w:eastAsia="宋体" w:cs="方正小标宋简体"/>
                <w:b/>
                <w:sz w:val="30"/>
                <w:szCs w:val="30"/>
              </w:rPr>
              <w:t>B、报 价 清 单</w:t>
            </w:r>
          </w:p>
        </w:tc>
        <w:tc>
          <w:tcPr>
            <w:tcW w:w="605" w:type="dxa"/>
            <w:tcBorders>
              <w:top w:val="nil"/>
              <w:left w:val="nil"/>
              <w:bottom w:val="nil"/>
              <w:right w:val="nil"/>
            </w:tcBorders>
            <w:vAlign w:val="center"/>
          </w:tcPr>
          <w:p>
            <w:pPr>
              <w:widowControl/>
              <w:jc w:val="center"/>
              <w:rPr>
                <w:rFonts w:ascii="方正小标宋简体" w:hAnsi="方正小标宋简体" w:eastAsia="方正小标宋简体" w:cs="方正小标宋简体"/>
                <w:sz w:val="44"/>
                <w:szCs w:val="44"/>
              </w:rPr>
            </w:pPr>
          </w:p>
        </w:tc>
        <w:tc>
          <w:tcPr>
            <w:tcW w:w="1074" w:type="dxa"/>
            <w:tcBorders>
              <w:top w:val="nil"/>
              <w:left w:val="nil"/>
              <w:bottom w:val="nil"/>
              <w:right w:val="nil"/>
            </w:tcBorders>
            <w:vAlign w:val="center"/>
          </w:tcPr>
          <w:p>
            <w:pPr>
              <w:widowControl/>
              <w:jc w:val="center"/>
              <w:rPr>
                <w:rFonts w:ascii="方正小标宋简体" w:hAnsi="方正小标宋简体" w:eastAsia="方正小标宋简体" w:cs="方正小标宋简体"/>
                <w:sz w:val="44"/>
                <w:szCs w:val="44"/>
              </w:rPr>
            </w:pPr>
          </w:p>
        </w:tc>
        <w:tc>
          <w:tcPr>
            <w:tcW w:w="1216" w:type="dxa"/>
            <w:tcBorders>
              <w:top w:val="nil"/>
              <w:left w:val="nil"/>
              <w:bottom w:val="nil"/>
              <w:right w:val="nil"/>
            </w:tcBorders>
            <w:vAlign w:val="center"/>
          </w:tcPr>
          <w:p>
            <w:pPr>
              <w:widowControl/>
              <w:jc w:val="center"/>
              <w:rPr>
                <w:rFonts w:ascii="方正小标宋简体" w:hAnsi="方正小标宋简体" w:eastAsia="方正小标宋简体" w:cs="方正小标宋简体"/>
                <w:sz w:val="44"/>
                <w:szCs w:val="44"/>
              </w:rPr>
            </w:pPr>
          </w:p>
        </w:tc>
      </w:tr>
      <w:tr>
        <w:tblPrEx>
          <w:tblLayout w:type="fixed"/>
          <w:tblCellMar>
            <w:top w:w="0" w:type="dxa"/>
            <w:left w:w="108" w:type="dxa"/>
            <w:bottom w:w="0" w:type="dxa"/>
            <w:right w:w="108" w:type="dxa"/>
          </w:tblCellMar>
        </w:tblPrEx>
        <w:trPr>
          <w:trHeight w:val="680" w:hRule="atLeast"/>
        </w:trPr>
        <w:tc>
          <w:tcPr>
            <w:tcW w:w="62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987" w:type="dxa"/>
            <w:tcBorders>
              <w:top w:val="single" w:color="auto" w:sz="4" w:space="0"/>
              <w:left w:val="nil"/>
              <w:bottom w:val="single" w:color="auto" w:sz="4" w:space="0"/>
              <w:right w:val="single" w:color="auto" w:sz="4" w:space="0"/>
            </w:tcBorders>
            <w:vAlign w:val="center"/>
          </w:tcPr>
          <w:p>
            <w:pPr>
              <w:widowControl/>
              <w:rPr>
                <w:rFonts w:ascii="宋体" w:hAnsi="宋体" w:eastAsia="宋体" w:cs="宋体"/>
                <w:b/>
                <w:bCs/>
                <w:kern w:val="0"/>
                <w:sz w:val="18"/>
                <w:szCs w:val="18"/>
              </w:rPr>
            </w:pPr>
            <w:r>
              <w:rPr>
                <w:rFonts w:hint="eastAsia" w:ascii="宋体" w:hAnsi="宋体" w:eastAsia="宋体" w:cs="宋体"/>
                <w:b/>
                <w:bCs/>
                <w:kern w:val="0"/>
                <w:sz w:val="18"/>
                <w:szCs w:val="18"/>
              </w:rPr>
              <w:t>项目名称</w:t>
            </w:r>
          </w:p>
        </w:tc>
        <w:tc>
          <w:tcPr>
            <w:tcW w:w="436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工作内容</w:t>
            </w:r>
          </w:p>
        </w:tc>
        <w:tc>
          <w:tcPr>
            <w:tcW w:w="67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单位</w:t>
            </w:r>
          </w:p>
        </w:tc>
        <w:tc>
          <w:tcPr>
            <w:tcW w:w="6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数量</w:t>
            </w:r>
          </w:p>
        </w:tc>
        <w:tc>
          <w:tcPr>
            <w:tcW w:w="1074" w:type="dxa"/>
            <w:tcBorders>
              <w:top w:val="single" w:color="auto" w:sz="4" w:space="0"/>
              <w:left w:val="nil"/>
              <w:bottom w:val="single" w:color="auto" w:sz="4" w:space="0"/>
              <w:right w:val="single" w:color="auto" w:sz="4" w:space="0"/>
            </w:tcBorders>
            <w:vAlign w:val="center"/>
          </w:tcPr>
          <w:p>
            <w:pPr>
              <w:widowControl/>
              <w:rPr>
                <w:rFonts w:ascii="宋体" w:hAnsi="宋体" w:eastAsia="宋体" w:cs="宋体"/>
                <w:b/>
                <w:bCs/>
                <w:kern w:val="0"/>
                <w:sz w:val="18"/>
                <w:szCs w:val="18"/>
              </w:rPr>
            </w:pPr>
            <w:r>
              <w:rPr>
                <w:rFonts w:hint="eastAsia" w:ascii="宋体" w:hAnsi="宋体" w:eastAsia="宋体" w:cs="宋体"/>
                <w:b/>
                <w:bCs/>
                <w:kern w:val="0"/>
                <w:sz w:val="18"/>
                <w:szCs w:val="18"/>
              </w:rPr>
              <w:t>单价（元）</w:t>
            </w:r>
          </w:p>
        </w:tc>
        <w:tc>
          <w:tcPr>
            <w:tcW w:w="121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合价（元）</w:t>
            </w:r>
          </w:p>
        </w:tc>
      </w:tr>
      <w:tr>
        <w:tblPrEx>
          <w:tblLayout w:type="fixed"/>
          <w:tblCellMar>
            <w:top w:w="0" w:type="dxa"/>
            <w:left w:w="108" w:type="dxa"/>
            <w:bottom w:w="0" w:type="dxa"/>
            <w:right w:w="108" w:type="dxa"/>
          </w:tblCellMar>
        </w:tblPrEx>
        <w:trPr>
          <w:trHeight w:val="2848" w:hRule="atLeast"/>
        </w:trPr>
        <w:tc>
          <w:tcPr>
            <w:tcW w:w="626"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1</w:t>
            </w:r>
          </w:p>
        </w:tc>
        <w:tc>
          <w:tcPr>
            <w:tcW w:w="987"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服务区</w:t>
            </w:r>
          </w:p>
        </w:tc>
        <w:tc>
          <w:tcPr>
            <w:tcW w:w="436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1"/>
                <w:szCs w:val="21"/>
                <w:lang w:bidi="ar"/>
              </w:rPr>
            </w:pPr>
            <w:r>
              <w:rPr>
                <w:rFonts w:hint="eastAsia" w:ascii="宋体" w:hAnsi="宋体" w:eastAsia="宋体" w:cs="宋体"/>
                <w:kern w:val="0"/>
                <w:sz w:val="21"/>
                <w:szCs w:val="21"/>
                <w:lang w:bidi="ar"/>
              </w:rPr>
              <w:t>1、鼠类防制</w:t>
            </w:r>
          </w:p>
          <w:p>
            <w:pPr>
              <w:widowControl/>
              <w:jc w:val="left"/>
              <w:rPr>
                <w:rFonts w:ascii="宋体" w:hAnsi="宋体" w:eastAsia="宋体" w:cs="宋体"/>
                <w:kern w:val="0"/>
                <w:sz w:val="21"/>
                <w:szCs w:val="21"/>
                <w:lang w:bidi="ar"/>
              </w:rPr>
            </w:pPr>
            <w:r>
              <w:rPr>
                <w:rFonts w:hint="eastAsia" w:ascii="宋体" w:hAnsi="宋体" w:eastAsia="宋体" w:cs="宋体"/>
                <w:kern w:val="0"/>
                <w:sz w:val="21"/>
                <w:szCs w:val="21"/>
                <w:lang w:bidi="ar"/>
              </w:rPr>
              <w:t>每对服务区全年投入不低于粘鼠板200块、陶瓷或复合材质的毒饵站30个、灭鼠稻谷80公斤、灭鼠蜡块30公斤。</w:t>
            </w:r>
          </w:p>
          <w:p>
            <w:pPr>
              <w:widowControl/>
              <w:jc w:val="left"/>
              <w:rPr>
                <w:rFonts w:ascii="宋体" w:hAnsi="宋体" w:eastAsia="宋体" w:cs="宋体"/>
                <w:kern w:val="0"/>
                <w:sz w:val="21"/>
                <w:szCs w:val="21"/>
                <w:lang w:bidi="ar"/>
              </w:rPr>
            </w:pPr>
            <w:r>
              <w:rPr>
                <w:rFonts w:hint="eastAsia" w:ascii="宋体" w:hAnsi="宋体" w:eastAsia="宋体" w:cs="宋体"/>
                <w:kern w:val="0"/>
                <w:sz w:val="21"/>
                <w:szCs w:val="21"/>
                <w:lang w:bidi="ar"/>
              </w:rPr>
              <w:t>2、蟑螂防制</w:t>
            </w:r>
          </w:p>
          <w:p>
            <w:pPr>
              <w:widowControl/>
              <w:jc w:val="left"/>
              <w:rPr>
                <w:rFonts w:ascii="宋体" w:hAnsi="宋体" w:eastAsia="宋体" w:cs="宋体"/>
                <w:kern w:val="0"/>
                <w:sz w:val="21"/>
                <w:szCs w:val="21"/>
                <w:lang w:bidi="ar"/>
              </w:rPr>
            </w:pPr>
            <w:r>
              <w:rPr>
                <w:rFonts w:hint="eastAsia" w:ascii="宋体" w:hAnsi="宋体" w:eastAsia="宋体" w:cs="宋体"/>
                <w:kern w:val="0"/>
                <w:sz w:val="21"/>
                <w:szCs w:val="21"/>
                <w:lang w:bidi="ar"/>
              </w:rPr>
              <w:t>每对服务区全年投入不低于杀蟑胶饵100支（20克一支）、杀蟑粉剂10公斤、杀蟑水乳剂12升（1升1瓶）。</w:t>
            </w:r>
          </w:p>
          <w:p>
            <w:pPr>
              <w:widowControl/>
              <w:jc w:val="left"/>
              <w:rPr>
                <w:rFonts w:ascii="宋体" w:hAnsi="宋体" w:eastAsia="宋体" w:cs="宋体"/>
                <w:kern w:val="0"/>
                <w:sz w:val="21"/>
                <w:szCs w:val="21"/>
                <w:lang w:bidi="ar"/>
              </w:rPr>
            </w:pPr>
            <w:r>
              <w:rPr>
                <w:rFonts w:hint="eastAsia" w:ascii="宋体" w:hAnsi="宋体" w:eastAsia="宋体" w:cs="宋体"/>
                <w:kern w:val="0"/>
                <w:sz w:val="21"/>
                <w:szCs w:val="21"/>
                <w:lang w:bidi="ar"/>
              </w:rPr>
              <w:t>3、蚊蝇防制</w:t>
            </w:r>
          </w:p>
          <w:p>
            <w:pPr>
              <w:widowControl/>
              <w:jc w:val="left"/>
              <w:rPr>
                <w:rFonts w:ascii="宋体" w:hAnsi="宋体" w:eastAsia="宋体" w:cs="宋体"/>
                <w:kern w:val="0"/>
                <w:sz w:val="21"/>
                <w:szCs w:val="21"/>
                <w:lang w:bidi="ar"/>
              </w:rPr>
            </w:pPr>
            <w:r>
              <w:rPr>
                <w:rFonts w:hint="eastAsia" w:ascii="宋体" w:hAnsi="宋体" w:eastAsia="宋体" w:cs="宋体"/>
                <w:kern w:val="0"/>
                <w:sz w:val="21"/>
                <w:szCs w:val="21"/>
                <w:lang w:bidi="ar"/>
              </w:rPr>
              <w:t>每对服务区全年投入不低于灭蚊蝇水乳剂40瓶（一升一瓶）、捕蝇笼80个（折叠挂式、绿色涤纶纱网材质、不小于35CM*20CM）。</w:t>
            </w:r>
          </w:p>
          <w:p>
            <w:pPr>
              <w:spacing w:line="360" w:lineRule="auto"/>
              <w:rPr>
                <w:rFonts w:hint="eastAsia" w:ascii="宋体" w:hAnsi="宋体" w:eastAsia="宋体" w:cs="宋体"/>
                <w:bCs/>
                <w:sz w:val="21"/>
                <w:szCs w:val="21"/>
              </w:rPr>
            </w:pPr>
            <w:r>
              <w:rPr>
                <w:rFonts w:hint="eastAsia" w:ascii="宋体" w:hAnsi="宋体" w:eastAsia="宋体" w:cs="宋体"/>
                <w:kern w:val="0"/>
                <w:sz w:val="21"/>
                <w:szCs w:val="21"/>
                <w:lang w:bidi="ar"/>
              </w:rPr>
              <w:t>备注：</w:t>
            </w:r>
            <w:r>
              <w:rPr>
                <w:rFonts w:hint="eastAsia" w:ascii="宋体" w:hAnsi="宋体" w:eastAsia="宋体" w:cs="宋体"/>
                <w:bCs/>
                <w:sz w:val="21"/>
                <w:szCs w:val="21"/>
              </w:rPr>
              <w:t>2019年6、7、8、10月分别对各服务区完成一次消杀，2020年第一季度及5月分别完成一次消杀。2</w:t>
            </w:r>
            <w:r>
              <w:rPr>
                <w:rFonts w:ascii="宋体" w:hAnsi="宋体" w:eastAsia="宋体" w:cs="宋体"/>
                <w:bCs/>
                <w:sz w:val="21"/>
                <w:szCs w:val="21"/>
              </w:rPr>
              <w:t>019-2020</w:t>
            </w:r>
            <w:r>
              <w:rPr>
                <w:rFonts w:hint="eastAsia" w:ascii="宋体" w:hAnsi="宋体" w:eastAsia="宋体" w:cs="宋体"/>
                <w:bCs/>
                <w:sz w:val="21"/>
                <w:szCs w:val="21"/>
              </w:rPr>
              <w:t>年对</w:t>
            </w:r>
            <w:r>
              <w:rPr>
                <w:rFonts w:ascii="宋体" w:hAnsi="宋体" w:eastAsia="宋体" w:cs="宋体"/>
                <w:bCs/>
                <w:sz w:val="21"/>
                <w:szCs w:val="21"/>
              </w:rPr>
              <w:t>每个服务区</w:t>
            </w:r>
            <w:r>
              <w:rPr>
                <w:rFonts w:hint="eastAsia" w:ascii="宋体" w:hAnsi="宋体" w:eastAsia="宋体" w:cs="宋体"/>
                <w:bCs/>
                <w:sz w:val="21"/>
                <w:szCs w:val="21"/>
              </w:rPr>
              <w:t>共计完成6次四害消杀（</w:t>
            </w:r>
            <w:r>
              <w:rPr>
                <w:rFonts w:ascii="宋体" w:hAnsi="宋体" w:eastAsia="宋体" w:cs="宋体"/>
                <w:bCs/>
                <w:sz w:val="21"/>
                <w:szCs w:val="21"/>
              </w:rPr>
              <w:t>68</w:t>
            </w:r>
            <w:r>
              <w:rPr>
                <w:rFonts w:hint="eastAsia" w:ascii="宋体" w:hAnsi="宋体" w:eastAsia="宋体" w:cs="宋体"/>
                <w:bCs/>
                <w:sz w:val="21"/>
                <w:szCs w:val="21"/>
              </w:rPr>
              <w:t>对</w:t>
            </w:r>
            <w:r>
              <w:rPr>
                <w:rFonts w:ascii="宋体" w:hAnsi="宋体" w:eastAsia="宋体" w:cs="宋体"/>
                <w:bCs/>
                <w:sz w:val="21"/>
                <w:szCs w:val="21"/>
              </w:rPr>
              <w:t>服务区</w:t>
            </w:r>
            <w:r>
              <w:rPr>
                <w:rFonts w:hint="eastAsia" w:ascii="宋体" w:hAnsi="宋体" w:eastAsia="宋体" w:cs="宋体"/>
                <w:bCs/>
                <w:sz w:val="21"/>
                <w:szCs w:val="21"/>
              </w:rPr>
              <w:t>*6次/对</w:t>
            </w:r>
            <w:r>
              <w:rPr>
                <w:rFonts w:ascii="宋体" w:hAnsi="宋体" w:eastAsia="宋体" w:cs="宋体"/>
                <w:bCs/>
                <w:sz w:val="21"/>
                <w:szCs w:val="21"/>
              </w:rPr>
              <w:t>服务区</w:t>
            </w:r>
            <w:r>
              <w:rPr>
                <w:rFonts w:hint="eastAsia" w:ascii="宋体" w:hAnsi="宋体" w:eastAsia="宋体" w:cs="宋体"/>
                <w:bCs/>
                <w:sz w:val="21"/>
                <w:szCs w:val="21"/>
              </w:rPr>
              <w:t>=</w:t>
            </w:r>
            <w:r>
              <w:rPr>
                <w:rFonts w:ascii="宋体" w:hAnsi="宋体" w:eastAsia="宋体" w:cs="宋体"/>
                <w:bCs/>
                <w:sz w:val="21"/>
                <w:szCs w:val="21"/>
              </w:rPr>
              <w:t>408</w:t>
            </w:r>
            <w:r>
              <w:rPr>
                <w:rFonts w:hint="eastAsia" w:ascii="宋体" w:hAnsi="宋体" w:eastAsia="宋体" w:cs="宋体"/>
                <w:bCs/>
                <w:sz w:val="21"/>
                <w:szCs w:val="21"/>
              </w:rPr>
              <w:t>次</w:t>
            </w:r>
            <w:r>
              <w:rPr>
                <w:rFonts w:ascii="宋体" w:hAnsi="宋体" w:eastAsia="宋体" w:cs="宋体"/>
                <w:bCs/>
                <w:sz w:val="21"/>
                <w:szCs w:val="21"/>
              </w:rPr>
              <w:t>）</w:t>
            </w:r>
            <w:r>
              <w:rPr>
                <w:rFonts w:hint="eastAsia" w:ascii="宋体" w:hAnsi="宋体" w:eastAsia="宋体" w:cs="宋体"/>
                <w:bCs/>
                <w:sz w:val="21"/>
                <w:szCs w:val="21"/>
              </w:rPr>
              <w:t xml:space="preserve">。如消杀完成后一个月内未能经服务区验收通过的，需24小时内无偿进行二次消杀。四害消杀标准须达到国爱卫会消杀标准，所用消杀药物也应达到国爱卫会消杀指定药物。本次询价供货商品应符合国家相关标准，供货商品均为正品。 </w:t>
            </w:r>
            <w:r>
              <w:rPr>
                <w:rFonts w:hint="eastAsia" w:ascii="宋体" w:hAnsi="宋体" w:eastAsia="宋体" w:cs="宋体"/>
                <w:kern w:val="0"/>
                <w:sz w:val="21"/>
                <w:szCs w:val="21"/>
                <w:lang w:bidi="ar"/>
              </w:rPr>
              <w:t>以上除四害用具经服务区人员验收签字后在服务区人员的现场安排下进行消杀。未能经服务区验收通过的，需24小时内无偿进行二次消杀。每对服务区指</w:t>
            </w:r>
            <w:r>
              <w:rPr>
                <w:rFonts w:ascii="宋体" w:hAnsi="宋体" w:eastAsia="宋体" w:cs="宋体"/>
                <w:kern w:val="0"/>
                <w:sz w:val="21"/>
                <w:szCs w:val="21"/>
                <w:lang w:bidi="ar"/>
              </w:rPr>
              <w:t>服务区两侧</w:t>
            </w:r>
            <w:r>
              <w:rPr>
                <w:rFonts w:hint="eastAsia" w:ascii="宋体" w:hAnsi="宋体" w:eastAsia="宋体" w:cs="宋体"/>
                <w:kern w:val="0"/>
                <w:sz w:val="21"/>
                <w:szCs w:val="21"/>
                <w:lang w:bidi="ar"/>
              </w:rPr>
              <w:t>。</w:t>
            </w:r>
          </w:p>
        </w:tc>
        <w:tc>
          <w:tcPr>
            <w:tcW w:w="67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000000"/>
                <w:kern w:val="0"/>
                <w:sz w:val="18"/>
                <w:szCs w:val="18"/>
                <w:lang w:bidi="ar"/>
              </w:rPr>
              <w:t>对</w:t>
            </w:r>
          </w:p>
        </w:tc>
        <w:tc>
          <w:tcPr>
            <w:tcW w:w="60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color w:val="FF0000"/>
                <w:kern w:val="0"/>
                <w:sz w:val="18"/>
                <w:szCs w:val="18"/>
                <w:lang w:bidi="ar"/>
              </w:rPr>
              <w:t>68</w:t>
            </w:r>
          </w:p>
        </w:tc>
        <w:tc>
          <w:tcPr>
            <w:tcW w:w="107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p>
        </w:tc>
        <w:tc>
          <w:tcPr>
            <w:tcW w:w="121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rPr>
            </w:pPr>
          </w:p>
        </w:tc>
      </w:tr>
    </w:tbl>
    <w:p>
      <w:pPr>
        <w:tabs>
          <w:tab w:val="left" w:pos="-1680"/>
        </w:tabs>
        <w:spacing w:line="360" w:lineRule="auto"/>
        <w:ind w:firstLine="2640" w:firstLineChars="1200"/>
        <w:jc w:val="left"/>
        <w:rPr>
          <w:rFonts w:ascii="宋体" w:hAnsi="宋体" w:eastAsia="宋体" w:cs="宋体"/>
          <w:sz w:val="22"/>
          <w:szCs w:val="22"/>
        </w:rPr>
      </w:pPr>
    </w:p>
    <w:p>
      <w:pPr>
        <w:tabs>
          <w:tab w:val="left" w:pos="-1680"/>
        </w:tabs>
        <w:spacing w:line="360" w:lineRule="auto"/>
        <w:ind w:firstLine="2640" w:firstLineChars="1200"/>
        <w:jc w:val="left"/>
        <w:rPr>
          <w:rFonts w:ascii="宋体" w:hAnsi="宋体" w:eastAsia="宋体" w:cs="宋体"/>
          <w:sz w:val="22"/>
          <w:szCs w:val="22"/>
          <w:u w:val="single"/>
        </w:rPr>
      </w:pPr>
      <w:r>
        <w:rPr>
          <w:rFonts w:hint="eastAsia" w:ascii="宋体" w:hAnsi="宋体" w:eastAsia="宋体" w:cs="宋体"/>
          <w:sz w:val="22"/>
          <w:szCs w:val="22"/>
        </w:rPr>
        <w:t>竞标单位名称：</w:t>
      </w:r>
      <w:r>
        <w:rPr>
          <w:rFonts w:hint="eastAsia" w:ascii="宋体" w:hAnsi="宋体" w:eastAsia="宋体" w:cs="宋体"/>
          <w:sz w:val="22"/>
          <w:szCs w:val="22"/>
          <w:u w:val="single"/>
        </w:rPr>
        <w:t xml:space="preserve">                     （盖章）     </w:t>
      </w:r>
    </w:p>
    <w:p>
      <w:pPr>
        <w:tabs>
          <w:tab w:val="left" w:pos="-1680"/>
        </w:tabs>
        <w:spacing w:line="360" w:lineRule="auto"/>
        <w:ind w:firstLine="220" w:firstLineChars="100"/>
        <w:jc w:val="left"/>
        <w:rPr>
          <w:rFonts w:ascii="宋体" w:hAnsi="宋体" w:eastAsia="宋体" w:cs="宋体"/>
          <w:sz w:val="22"/>
          <w:szCs w:val="22"/>
          <w:u w:val="single"/>
        </w:rPr>
      </w:pPr>
      <w:r>
        <w:rPr>
          <w:rFonts w:ascii="宋体" w:hAnsi="宋体" w:eastAsia="宋体" w:cs="宋体"/>
          <w:sz w:val="22"/>
          <w:szCs w:val="22"/>
        </w:rPr>
        <w:t xml:space="preserve">                      </w:t>
      </w:r>
      <w:r>
        <w:rPr>
          <w:rFonts w:hint="eastAsia" w:ascii="宋体" w:hAnsi="宋体" w:eastAsia="宋体" w:cs="宋体"/>
          <w:sz w:val="22"/>
          <w:szCs w:val="22"/>
        </w:rPr>
        <w:t>法定代表人或其授权的代理人：</w:t>
      </w:r>
      <w:r>
        <w:rPr>
          <w:rFonts w:hint="eastAsia" w:ascii="宋体" w:hAnsi="宋体" w:eastAsia="宋体" w:cs="宋体"/>
          <w:sz w:val="22"/>
          <w:szCs w:val="22"/>
          <w:u w:val="single"/>
        </w:rPr>
        <w:t xml:space="preserve">      （签字）      </w:t>
      </w:r>
    </w:p>
    <w:p>
      <w:pPr>
        <w:tabs>
          <w:tab w:val="left" w:pos="-1680"/>
        </w:tabs>
        <w:spacing w:line="360" w:lineRule="auto"/>
        <w:ind w:firstLine="3839" w:firstLineChars="1745"/>
        <w:jc w:val="left"/>
        <w:rPr>
          <w:rFonts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w:t>
      </w:r>
    </w:p>
    <w:p>
      <w:pPr>
        <w:tabs>
          <w:tab w:val="left" w:pos="600"/>
        </w:tabs>
        <w:jc w:val="left"/>
        <w:rPr>
          <w:rFonts w:ascii="Calibri" w:hAnsi="Calibri" w:eastAsia="宋体"/>
          <w:color w:val="FF0000"/>
          <w:sz w:val="24"/>
          <w:szCs w:val="24"/>
        </w:rPr>
        <w:sectPr>
          <w:headerReference r:id="rId16" w:type="default"/>
          <w:pgSz w:w="11906" w:h="16838"/>
          <w:pgMar w:top="1440" w:right="1800" w:bottom="1440" w:left="1800" w:header="851" w:footer="992" w:gutter="0"/>
          <w:pgNumType w:fmt="numberInDash"/>
          <w:cols w:space="720" w:num="1"/>
          <w:docGrid w:type="lines" w:linePitch="312" w:charSpace="0"/>
        </w:sectPr>
      </w:pPr>
    </w:p>
    <w:p>
      <w:pPr>
        <w:tabs>
          <w:tab w:val="left" w:pos="-1680"/>
        </w:tabs>
        <w:spacing w:line="360" w:lineRule="auto"/>
        <w:ind w:right="240"/>
        <w:jc w:val="right"/>
        <w:rPr>
          <w:rFonts w:ascii="黑体" w:hAnsi="黑体" w:eastAsia="黑体" w:cs="黑体"/>
          <w:color w:val="FF0000"/>
          <w:sz w:val="24"/>
          <w:szCs w:val="24"/>
        </w:rPr>
      </w:pPr>
    </w:p>
    <w:p>
      <w:pPr>
        <w:spacing w:line="360" w:lineRule="exact"/>
        <w:ind w:firstLine="3600" w:firstLineChars="1500"/>
        <w:jc w:val="right"/>
        <w:rPr>
          <w:rFonts w:ascii="Calibri" w:hAnsi="Calibri" w:eastAsia="宋体"/>
          <w:color w:val="FF0000"/>
          <w:sz w:val="24"/>
          <w:szCs w:val="24"/>
        </w:rPr>
      </w:pPr>
    </w:p>
    <w:p>
      <w:pPr>
        <w:jc w:val="left"/>
        <w:rPr>
          <w:rFonts w:ascii="Calibri" w:hAnsi="Calibri" w:eastAsia="宋体"/>
          <w:color w:val="FF0000"/>
          <w:sz w:val="24"/>
          <w:szCs w:val="24"/>
        </w:rPr>
      </w:pPr>
    </w:p>
    <w:p>
      <w:pPr>
        <w:keepNext/>
        <w:keepLines/>
        <w:spacing w:line="360" w:lineRule="exact"/>
        <w:jc w:val="center"/>
        <w:outlineLvl w:val="1"/>
        <w:rPr>
          <w:rFonts w:ascii="Arial" w:hAnsi="Arial" w:eastAsia="黑体"/>
          <w:bCs/>
        </w:rPr>
      </w:pPr>
      <w:bookmarkStart w:id="24" w:name="_Toc31745"/>
      <w:bookmarkStart w:id="25" w:name="_Toc10635"/>
      <w:r>
        <w:rPr>
          <w:rFonts w:hint="eastAsia" w:ascii="Arial" w:hAnsi="Arial" w:eastAsia="黑体"/>
          <w:bCs/>
        </w:rPr>
        <w:t>二、法定代表人（单位负责人）身份证明</w:t>
      </w:r>
      <w:bookmarkEnd w:id="24"/>
      <w:bookmarkEnd w:id="25"/>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竞标人名称：</w:t>
      </w:r>
      <w:r>
        <w:rPr>
          <w:rFonts w:hint="eastAsia" w:ascii="宋体" w:hAnsi="宋体" w:eastAsia="宋体" w:cs="宋体"/>
          <w:sz w:val="22"/>
          <w:szCs w:val="22"/>
          <w:u w:val="single"/>
        </w:rPr>
        <w:t xml:space="preserve">                      </w:t>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姓名：</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性别：</w:t>
      </w:r>
      <w:r>
        <w:rPr>
          <w:rFonts w:hint="eastAsia" w:ascii="宋体" w:hAnsi="宋体" w:eastAsia="宋体" w:cs="宋体"/>
          <w:sz w:val="22"/>
          <w:szCs w:val="22"/>
          <w:u w:val="single"/>
        </w:rPr>
        <w:t xml:space="preserve">             </w:t>
      </w:r>
      <w:r>
        <w:rPr>
          <w:rFonts w:hint="eastAsia" w:ascii="宋体" w:hAnsi="宋体" w:eastAsia="宋体" w:cs="宋体"/>
          <w:sz w:val="22"/>
          <w:szCs w:val="22"/>
        </w:rPr>
        <w:t>年龄：</w:t>
      </w:r>
      <w:r>
        <w:rPr>
          <w:rFonts w:hint="eastAsia" w:ascii="宋体" w:hAnsi="宋体" w:eastAsia="宋体" w:cs="宋体"/>
          <w:sz w:val="22"/>
          <w:szCs w:val="22"/>
          <w:u w:val="single"/>
        </w:rPr>
        <w:t xml:space="preserve">          </w:t>
      </w:r>
      <w:r>
        <w:rPr>
          <w:rFonts w:hint="eastAsia" w:ascii="宋体" w:hAnsi="宋体" w:eastAsia="宋体" w:cs="宋体"/>
          <w:sz w:val="22"/>
          <w:szCs w:val="22"/>
        </w:rPr>
        <w:t>职务</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系 </w:t>
      </w:r>
      <w:r>
        <w:rPr>
          <w:rFonts w:hint="eastAsia" w:ascii="宋体" w:hAnsi="宋体" w:eastAsia="宋体" w:cs="宋体"/>
          <w:sz w:val="22"/>
          <w:szCs w:val="22"/>
          <w:u w:val="single"/>
        </w:rPr>
        <w:t xml:space="preserve">    </w:t>
      </w:r>
      <w:r>
        <w:rPr>
          <w:rFonts w:hint="eastAsia" w:ascii="宋体" w:hAnsi="宋体" w:eastAsia="宋体" w:cs="宋体"/>
          <w:sz w:val="22"/>
          <w:szCs w:val="22"/>
        </w:rPr>
        <w:t>（竞标人名称）的法定代表人（单位负责人）。</w:t>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特此证明。</w:t>
      </w: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p>
    <w:p>
      <w:pPr>
        <w:tabs>
          <w:tab w:val="left" w:pos="6400"/>
        </w:tabs>
        <w:overflowPunct w:val="0"/>
        <w:adjustRightInd w:val="0"/>
        <w:snapToGrid w:val="0"/>
        <w:spacing w:line="300" w:lineRule="auto"/>
        <w:ind w:firstLine="440" w:firstLineChars="200"/>
        <w:jc w:val="right"/>
        <w:rPr>
          <w:rFonts w:ascii="宋体" w:hAnsi="宋体" w:eastAsia="宋体" w:cs="宋体"/>
          <w:sz w:val="22"/>
          <w:szCs w:val="22"/>
        </w:rPr>
      </w:pPr>
      <w:r>
        <w:rPr>
          <w:rFonts w:hint="eastAsia" w:ascii="宋体" w:hAnsi="宋体" w:eastAsia="宋体" w:cs="宋体"/>
          <w:sz w:val="22"/>
          <w:szCs w:val="22"/>
        </w:rPr>
        <w:t>竞标人：</w:t>
      </w:r>
      <w:r>
        <w:rPr>
          <w:rFonts w:hint="eastAsia" w:ascii="宋体" w:hAnsi="宋体" w:eastAsia="宋体" w:cs="宋体"/>
          <w:sz w:val="22"/>
          <w:szCs w:val="22"/>
          <w:u w:val="single"/>
        </w:rPr>
        <w:t xml:space="preserve">             </w:t>
      </w:r>
      <w:r>
        <w:rPr>
          <w:rFonts w:hint="eastAsia" w:ascii="宋体" w:hAnsi="宋体" w:eastAsia="宋体" w:cs="宋体"/>
          <w:sz w:val="22"/>
          <w:szCs w:val="22"/>
        </w:rPr>
        <w:t>（单位公章）</w:t>
      </w:r>
    </w:p>
    <w:p>
      <w:pPr>
        <w:tabs>
          <w:tab w:val="left" w:pos="6080"/>
          <w:tab w:val="left" w:pos="6920"/>
        </w:tabs>
        <w:adjustRightInd w:val="0"/>
        <w:snapToGrid w:val="0"/>
        <w:spacing w:line="300" w:lineRule="auto"/>
        <w:ind w:firstLine="440" w:firstLineChars="200"/>
        <w:jc w:val="right"/>
        <w:rPr>
          <w:rFonts w:ascii="宋体" w:hAnsi="宋体" w:eastAsia="宋体" w:cs="宋体"/>
          <w:sz w:val="22"/>
          <w:szCs w:val="22"/>
        </w:rPr>
      </w:pP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w:t>
      </w:r>
    </w:p>
    <w:p>
      <w:pPr>
        <w:adjustRightInd w:val="0"/>
        <w:snapToGrid w:val="0"/>
        <w:spacing w:line="300" w:lineRule="auto"/>
        <w:ind w:firstLine="440" w:firstLineChars="200"/>
        <w:jc w:val="right"/>
        <w:rPr>
          <w:rFonts w:ascii="宋体" w:hAnsi="宋体" w:eastAsia="宋体" w:cs="宋体"/>
          <w:sz w:val="22"/>
          <w:szCs w:val="22"/>
        </w:rPr>
      </w:pPr>
    </w:p>
    <w:p>
      <w:pPr>
        <w:adjustRightInd w:val="0"/>
        <w:snapToGrid w:val="0"/>
        <w:spacing w:line="300" w:lineRule="auto"/>
        <w:jc w:val="right"/>
        <w:rPr>
          <w:rFonts w:ascii="宋体" w:hAnsi="宋体" w:eastAsia="宋体" w:cs="宋体"/>
          <w:sz w:val="22"/>
          <w:szCs w:val="22"/>
        </w:rPr>
      </w:pPr>
    </w:p>
    <w:p>
      <w:pPr>
        <w:adjustRightInd w:val="0"/>
        <w:snapToGrid w:val="0"/>
        <w:spacing w:line="300" w:lineRule="auto"/>
        <w:jc w:val="right"/>
        <w:rPr>
          <w:rFonts w:ascii="宋体" w:hAnsi="宋体" w:eastAsia="宋体" w:cs="宋体"/>
          <w:sz w:val="22"/>
          <w:szCs w:val="22"/>
        </w:rPr>
      </w:pPr>
      <w:r>
        <w:rPr>
          <w:rFonts w:hint="eastAsia" w:ascii="宋体" w:hAnsi="宋体" w:eastAsia="宋体" w:cs="宋体"/>
          <w:sz w:val="22"/>
          <w:szCs w:val="22"/>
        </w:rPr>
        <w:t>附：法定代表人（单位负责人）身份证复印件</w:t>
      </w:r>
    </w:p>
    <w:p>
      <w:pPr>
        <w:adjustRightInd w:val="0"/>
        <w:snapToGrid w:val="0"/>
        <w:spacing w:line="300" w:lineRule="auto"/>
        <w:jc w:val="left"/>
        <w:rPr>
          <w:rFonts w:ascii="宋体" w:hAnsi="宋体" w:eastAsia="宋体" w:cs="宋体"/>
          <w:color w:val="FF0000"/>
          <w:sz w:val="22"/>
          <w:szCs w:val="22"/>
        </w:rPr>
      </w:pPr>
    </w:p>
    <w:p>
      <w:pPr>
        <w:jc w:val="left"/>
        <w:rPr>
          <w:rFonts w:ascii="Calibri" w:hAnsi="Calibri" w:eastAsia="宋体"/>
          <w:color w:val="FF0000"/>
          <w:sz w:val="24"/>
          <w:szCs w:val="24"/>
        </w:rPr>
      </w:pPr>
      <w:bookmarkStart w:id="26" w:name="page82"/>
      <w:bookmarkEnd w:id="26"/>
      <w:r>
        <w:rPr>
          <w:rFonts w:hint="eastAsia" w:ascii="宋体" w:hAnsi="宋体" w:eastAsia="宋体" w:cs="宋体"/>
          <w:b/>
          <w:color w:val="FF0000"/>
          <w:sz w:val="24"/>
          <w:szCs w:val="22"/>
        </w:rPr>
        <w:br w:type="page"/>
      </w:r>
    </w:p>
    <w:p>
      <w:pPr>
        <w:keepNext/>
        <w:keepLines/>
        <w:spacing w:line="360" w:lineRule="exact"/>
        <w:jc w:val="center"/>
        <w:outlineLvl w:val="1"/>
        <w:rPr>
          <w:rFonts w:ascii="宋体" w:hAnsi="宋体" w:eastAsia="宋体" w:cs="宋体"/>
          <w:bCs/>
          <w:sz w:val="22"/>
          <w:szCs w:val="22"/>
        </w:rPr>
      </w:pPr>
      <w:bookmarkStart w:id="27" w:name="_Toc10831"/>
      <w:bookmarkStart w:id="28" w:name="_Toc13166"/>
      <w:r>
        <w:rPr>
          <w:rFonts w:hint="eastAsia" w:ascii="Arial" w:hAnsi="Arial" w:eastAsia="黑体"/>
          <w:bCs/>
        </w:rPr>
        <w:t>三、授权委托书</w:t>
      </w:r>
      <w:bookmarkEnd w:id="27"/>
      <w:bookmarkEnd w:id="28"/>
    </w:p>
    <w:p>
      <w:pPr>
        <w:adjustRightInd w:val="0"/>
        <w:snapToGrid w:val="0"/>
        <w:spacing w:line="300" w:lineRule="auto"/>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本人</w:t>
      </w:r>
      <w:r>
        <w:rPr>
          <w:rFonts w:hint="eastAsia" w:ascii="宋体" w:hAnsi="宋体" w:eastAsia="宋体" w:cs="宋体"/>
          <w:sz w:val="22"/>
          <w:szCs w:val="22"/>
          <w:u w:val="single"/>
        </w:rPr>
        <w:t xml:space="preserve">                 </w:t>
      </w:r>
      <w:r>
        <w:rPr>
          <w:rFonts w:hint="eastAsia" w:ascii="宋体" w:hAnsi="宋体" w:eastAsia="宋体" w:cs="宋体"/>
          <w:sz w:val="22"/>
          <w:szCs w:val="22"/>
        </w:rPr>
        <w:t>（姓名）系</w:t>
      </w:r>
      <w:r>
        <w:rPr>
          <w:rFonts w:hint="eastAsia" w:ascii="宋体" w:hAnsi="宋体" w:eastAsia="宋体" w:cs="宋体"/>
          <w:sz w:val="22"/>
          <w:szCs w:val="22"/>
          <w:u w:val="single"/>
        </w:rPr>
        <w:t xml:space="preserve">                 </w:t>
      </w:r>
      <w:r>
        <w:rPr>
          <w:rFonts w:hint="eastAsia" w:ascii="宋体" w:hAnsi="宋体" w:eastAsia="宋体" w:cs="宋体"/>
          <w:sz w:val="22"/>
          <w:szCs w:val="22"/>
        </w:rPr>
        <w:t>（竞标人名称）的法定代表人（单位负责人），现委托</w:t>
      </w:r>
      <w:r>
        <w:rPr>
          <w:rFonts w:hint="eastAsia" w:ascii="宋体" w:hAnsi="宋体" w:eastAsia="宋体" w:cs="宋体"/>
          <w:sz w:val="22"/>
          <w:szCs w:val="22"/>
          <w:u w:val="single"/>
        </w:rPr>
        <w:t xml:space="preserve">                 </w:t>
      </w:r>
      <w:r>
        <w:rPr>
          <w:rFonts w:hint="eastAsia" w:ascii="宋体" w:hAnsi="宋体" w:eastAsia="宋体" w:cs="宋体"/>
          <w:sz w:val="22"/>
          <w:szCs w:val="22"/>
        </w:rPr>
        <w:t>（姓名）为我方代理人。代理人根据授权，以我方名义签署、澄清确认、递交、撤回、修改</w:t>
      </w:r>
      <w:r>
        <w:rPr>
          <w:rFonts w:hint="eastAsia" w:ascii="宋体" w:hAnsi="宋体" w:eastAsia="宋体" w:cs="宋体"/>
          <w:sz w:val="22"/>
          <w:szCs w:val="22"/>
          <w:u w:val="single"/>
        </w:rPr>
        <w:t xml:space="preserve">                 （项目名称）</w:t>
      </w:r>
      <w:r>
        <w:rPr>
          <w:rFonts w:hint="eastAsia" w:ascii="宋体" w:hAnsi="宋体" w:eastAsia="宋体" w:cs="宋体"/>
          <w:sz w:val="22"/>
          <w:szCs w:val="22"/>
        </w:rPr>
        <w:t>采购响应文件、签订合同和处理有关事宜，其法律后果由我方承担。</w:t>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委托期限：</w:t>
      </w:r>
      <w:r>
        <w:rPr>
          <w:rFonts w:hint="eastAsia" w:ascii="宋体" w:hAnsi="宋体" w:eastAsia="宋体" w:cs="宋体"/>
          <w:sz w:val="22"/>
          <w:szCs w:val="22"/>
          <w:u w:val="single"/>
        </w:rPr>
        <w:t xml:space="preserve">                 。</w:t>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代理人无转委托权。</w:t>
      </w: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附：法定代表人（单位负责人）身份证复印件及委托代理人身份证复印件</w:t>
      </w: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注：本授权委托书需由竞标人加盖单位公章并由其法定代表人（单位负责人）和委托代理人签字。</w:t>
      </w: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竞  标  人：</w:t>
      </w:r>
      <w:r>
        <w:rPr>
          <w:rFonts w:hint="eastAsia" w:ascii="宋体" w:hAnsi="宋体" w:eastAsia="宋体" w:cs="宋体"/>
          <w:sz w:val="22"/>
          <w:szCs w:val="22"/>
          <w:u w:val="single"/>
        </w:rPr>
        <w:t xml:space="preserve">                 </w:t>
      </w:r>
      <w:r>
        <w:rPr>
          <w:rFonts w:hint="eastAsia" w:ascii="宋体" w:hAnsi="宋体" w:eastAsia="宋体" w:cs="宋体"/>
          <w:sz w:val="22"/>
          <w:szCs w:val="22"/>
        </w:rPr>
        <w:t>（单位公章）</w:t>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法定代表人（单位负责人）：</w:t>
      </w:r>
      <w:r>
        <w:rPr>
          <w:rFonts w:hint="eastAsia" w:ascii="宋体" w:hAnsi="宋体" w:eastAsia="宋体" w:cs="宋体"/>
          <w:sz w:val="22"/>
          <w:szCs w:val="22"/>
          <w:u w:val="single"/>
        </w:rPr>
        <w:t xml:space="preserve">                 </w:t>
      </w:r>
      <w:r>
        <w:rPr>
          <w:rFonts w:hint="eastAsia" w:ascii="宋体" w:hAnsi="宋体" w:eastAsia="宋体" w:cs="宋体"/>
          <w:sz w:val="22"/>
          <w:szCs w:val="22"/>
        </w:rPr>
        <w:t>（签字）</w:t>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身份证号码：</w:t>
      </w:r>
      <w:r>
        <w:rPr>
          <w:rFonts w:hint="eastAsia" w:ascii="宋体" w:hAnsi="宋体" w:eastAsia="宋体" w:cs="宋体"/>
          <w:sz w:val="22"/>
          <w:szCs w:val="22"/>
          <w:u w:val="single"/>
        </w:rPr>
        <w:t xml:space="preserve">                 </w:t>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委托代理人：</w:t>
      </w:r>
      <w:r>
        <w:rPr>
          <w:rFonts w:hint="eastAsia" w:ascii="宋体" w:hAnsi="宋体" w:eastAsia="宋体" w:cs="宋体"/>
          <w:sz w:val="22"/>
          <w:szCs w:val="22"/>
          <w:u w:val="single"/>
        </w:rPr>
        <w:t xml:space="preserve">                 </w:t>
      </w:r>
      <w:r>
        <w:rPr>
          <w:rFonts w:hint="eastAsia" w:ascii="宋体" w:hAnsi="宋体" w:eastAsia="宋体" w:cs="宋体"/>
          <w:sz w:val="22"/>
          <w:szCs w:val="22"/>
        </w:rPr>
        <w:t>（签字）</w:t>
      </w:r>
    </w:p>
    <w:p>
      <w:pPr>
        <w:wordWrap w:val="0"/>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 xml:space="preserve">身份证号码：                    </w:t>
      </w:r>
    </w:p>
    <w:p>
      <w:pPr>
        <w:adjustRightInd w:val="0"/>
        <w:snapToGrid w:val="0"/>
        <w:spacing w:line="300" w:lineRule="auto"/>
        <w:jc w:val="left"/>
        <w:rPr>
          <w:rFonts w:ascii="宋体" w:hAnsi="宋体" w:eastAsia="宋体" w:cs="宋体"/>
          <w:sz w:val="22"/>
          <w:szCs w:val="22"/>
        </w:rPr>
      </w:pPr>
    </w:p>
    <w:p>
      <w:pPr>
        <w:adjustRightInd w:val="0"/>
        <w:snapToGrid w:val="0"/>
        <w:spacing w:line="300" w:lineRule="auto"/>
        <w:jc w:val="left"/>
        <w:rPr>
          <w:rFonts w:ascii="宋体" w:hAnsi="宋体" w:eastAsia="宋体" w:cs="宋体"/>
          <w:sz w:val="22"/>
          <w:szCs w:val="22"/>
        </w:rPr>
      </w:pPr>
    </w:p>
    <w:p>
      <w:pPr>
        <w:tabs>
          <w:tab w:val="left" w:pos="6080"/>
          <w:tab w:val="left" w:pos="6920"/>
        </w:tabs>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w:t>
      </w:r>
    </w:p>
    <w:p>
      <w:pPr>
        <w:adjustRightInd w:val="0"/>
        <w:snapToGrid w:val="0"/>
        <w:spacing w:line="300" w:lineRule="auto"/>
        <w:jc w:val="left"/>
        <w:rPr>
          <w:rFonts w:ascii="宋体" w:hAnsi="宋体" w:eastAsia="宋体" w:cs="宋体"/>
          <w:sz w:val="22"/>
          <w:szCs w:val="22"/>
        </w:rPr>
      </w:pPr>
    </w:p>
    <w:p>
      <w:pPr>
        <w:adjustRightInd w:val="0"/>
        <w:snapToGrid w:val="0"/>
        <w:spacing w:line="300" w:lineRule="auto"/>
        <w:jc w:val="left"/>
        <w:rPr>
          <w:rFonts w:ascii="宋体" w:hAnsi="宋体" w:eastAsia="宋体" w:cs="宋体"/>
          <w:sz w:val="22"/>
          <w:szCs w:val="22"/>
        </w:rPr>
      </w:pPr>
    </w:p>
    <w:p>
      <w:pPr>
        <w:adjustRightInd w:val="0"/>
        <w:snapToGrid w:val="0"/>
        <w:spacing w:line="300" w:lineRule="auto"/>
        <w:jc w:val="left"/>
        <w:rPr>
          <w:rFonts w:ascii="宋体" w:hAnsi="宋体" w:eastAsia="宋体" w:cs="宋体"/>
          <w:color w:val="FF0000"/>
          <w:sz w:val="22"/>
          <w:szCs w:val="22"/>
        </w:rPr>
      </w:pPr>
    </w:p>
    <w:p>
      <w:pPr>
        <w:adjustRightInd w:val="0"/>
        <w:snapToGrid w:val="0"/>
        <w:spacing w:line="300" w:lineRule="auto"/>
        <w:jc w:val="left"/>
        <w:rPr>
          <w:rFonts w:ascii="宋体" w:hAnsi="宋体" w:eastAsia="宋体" w:cs="宋体"/>
          <w:color w:val="FF0000"/>
          <w:sz w:val="22"/>
          <w:szCs w:val="22"/>
        </w:rPr>
      </w:pPr>
    </w:p>
    <w:p>
      <w:pPr>
        <w:adjustRightInd w:val="0"/>
        <w:snapToGrid w:val="0"/>
        <w:spacing w:line="300" w:lineRule="auto"/>
        <w:jc w:val="left"/>
        <w:rPr>
          <w:rFonts w:ascii="宋体" w:hAnsi="宋体" w:eastAsia="宋体" w:cs="宋体"/>
          <w:color w:val="FF0000"/>
          <w:sz w:val="22"/>
          <w:szCs w:val="22"/>
        </w:rPr>
        <w:sectPr>
          <w:pgSz w:w="11906" w:h="16838"/>
          <w:pgMar w:top="1417" w:right="1417" w:bottom="1417" w:left="1417" w:header="850" w:footer="850" w:gutter="0"/>
          <w:cols w:space="720" w:num="1"/>
        </w:sectPr>
      </w:pPr>
    </w:p>
    <w:p>
      <w:pPr>
        <w:keepNext/>
        <w:keepLines/>
        <w:spacing w:line="360" w:lineRule="exact"/>
        <w:jc w:val="center"/>
        <w:outlineLvl w:val="1"/>
        <w:rPr>
          <w:rFonts w:ascii="Arial" w:hAnsi="Arial" w:eastAsia="黑体"/>
          <w:bCs/>
        </w:rPr>
      </w:pPr>
      <w:bookmarkStart w:id="29" w:name="_Toc11523"/>
      <w:bookmarkStart w:id="30" w:name="_Toc11440"/>
    </w:p>
    <w:p>
      <w:pPr>
        <w:keepNext/>
        <w:keepLines/>
        <w:spacing w:line="360" w:lineRule="exact"/>
        <w:jc w:val="center"/>
        <w:outlineLvl w:val="1"/>
        <w:rPr>
          <w:rFonts w:ascii="Arial" w:hAnsi="Arial" w:eastAsia="黑体"/>
          <w:bCs/>
        </w:rPr>
      </w:pPr>
      <w:r>
        <w:rPr>
          <w:rFonts w:hint="eastAsia" w:ascii="Arial" w:hAnsi="Arial" w:eastAsia="黑体"/>
          <w:bCs/>
        </w:rPr>
        <w:t>四、竞标保证金</w:t>
      </w:r>
    </w:p>
    <w:p>
      <w:pPr>
        <w:adjustRightInd w:val="0"/>
        <w:snapToGrid w:val="0"/>
        <w:spacing w:line="300" w:lineRule="auto"/>
        <w:jc w:val="left"/>
        <w:rPr>
          <w:rFonts w:ascii="宋体" w:hAnsi="宋体" w:eastAsia="宋体" w:cs="宋体"/>
          <w:sz w:val="22"/>
          <w:szCs w:val="22"/>
        </w:rPr>
      </w:pPr>
    </w:p>
    <w:p>
      <w:pPr>
        <w:overflowPunct w:val="0"/>
        <w:adjustRightInd w:val="0"/>
        <w:snapToGrid w:val="0"/>
        <w:spacing w:line="300" w:lineRule="auto"/>
        <w:ind w:firstLine="442" w:firstLineChars="200"/>
        <w:jc w:val="left"/>
        <w:rPr>
          <w:rFonts w:ascii="宋体" w:hAnsi="宋体" w:eastAsia="宋体" w:cs="宋体"/>
          <w:b/>
          <w:bCs/>
          <w:sz w:val="22"/>
          <w:szCs w:val="22"/>
        </w:rPr>
      </w:pPr>
      <w:r>
        <w:rPr>
          <w:rFonts w:hint="eastAsia" w:ascii="宋体" w:hAnsi="宋体" w:eastAsia="宋体" w:cs="宋体"/>
          <w:b/>
          <w:bCs/>
          <w:sz w:val="22"/>
          <w:szCs w:val="22"/>
        </w:rPr>
        <w:t>若采用转账或电汇，竞标人应在此提供汇款凭证的复印件。</w:t>
      </w:r>
    </w:p>
    <w:p>
      <w:pPr>
        <w:overflowPunct w:val="0"/>
        <w:adjustRightInd w:val="0"/>
        <w:snapToGrid w:val="0"/>
        <w:spacing w:line="300" w:lineRule="auto"/>
        <w:ind w:firstLine="440" w:firstLineChars="200"/>
        <w:jc w:val="left"/>
        <w:rPr>
          <w:rFonts w:ascii="宋体" w:hAnsi="宋体" w:eastAsia="宋体" w:cs="宋体"/>
          <w:sz w:val="22"/>
          <w:szCs w:val="22"/>
        </w:rPr>
      </w:pPr>
    </w:p>
    <w:p>
      <w:pPr>
        <w:overflowPunct w:val="0"/>
        <w:adjustRightInd w:val="0"/>
        <w:snapToGrid w:val="0"/>
        <w:spacing w:line="300" w:lineRule="auto"/>
        <w:ind w:firstLine="440" w:firstLineChars="200"/>
        <w:jc w:val="left"/>
        <w:rPr>
          <w:rFonts w:ascii="宋体" w:hAnsi="宋体" w:eastAsia="宋体" w:cs="宋体"/>
          <w:sz w:val="22"/>
          <w:szCs w:val="22"/>
        </w:rPr>
      </w:pPr>
    </w:p>
    <w:p>
      <w:pPr>
        <w:overflowPunct w:val="0"/>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如采用银行保函，银行保函原件装订在响应文件的正本之中，格式如下。</w:t>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u w:val="single"/>
        </w:rPr>
        <w:t xml:space="preserve">          </w:t>
      </w:r>
      <w:r>
        <w:rPr>
          <w:rFonts w:hint="eastAsia" w:ascii="宋体" w:hAnsi="宋体" w:eastAsia="宋体" w:cs="宋体"/>
          <w:sz w:val="22"/>
          <w:szCs w:val="22"/>
        </w:rPr>
        <w:t>（采购人名称）：</w:t>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鉴于</w:t>
      </w:r>
      <w:r>
        <w:rPr>
          <w:rFonts w:hint="eastAsia" w:ascii="宋体" w:hAnsi="宋体" w:eastAsia="宋体" w:cs="宋体"/>
          <w:sz w:val="22"/>
          <w:szCs w:val="22"/>
          <w:u w:val="single"/>
        </w:rPr>
        <w:t xml:space="preserve">          </w:t>
      </w:r>
      <w:r>
        <w:rPr>
          <w:rFonts w:hint="eastAsia" w:ascii="宋体" w:hAnsi="宋体" w:eastAsia="宋体" w:cs="宋体"/>
          <w:sz w:val="22"/>
          <w:szCs w:val="22"/>
        </w:rPr>
        <w:t>（竞标人名称）（以下称“竞标人”）于</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日参加</w:t>
      </w:r>
      <w:r>
        <w:rPr>
          <w:rFonts w:hint="eastAsia" w:ascii="宋体" w:hAnsi="宋体" w:eastAsia="宋体" w:cs="宋体"/>
          <w:sz w:val="22"/>
          <w:szCs w:val="22"/>
          <w:u w:val="single"/>
        </w:rPr>
        <w:t xml:space="preserve">   </w:t>
      </w:r>
      <w:r>
        <w:rPr>
          <w:rFonts w:hint="eastAsia" w:ascii="宋体" w:hAnsi="宋体" w:eastAsia="宋体" w:cs="宋体"/>
          <w:sz w:val="22"/>
          <w:szCs w:val="22"/>
        </w:rPr>
        <w:t>（项目名称）采购的投标，</w:t>
      </w:r>
      <w:r>
        <w:rPr>
          <w:rFonts w:hint="eastAsia" w:ascii="宋体" w:hAnsi="宋体" w:eastAsia="宋体" w:cs="宋体"/>
          <w:sz w:val="22"/>
          <w:szCs w:val="22"/>
          <w:u w:val="single"/>
        </w:rPr>
        <w:t xml:space="preserve">          </w:t>
      </w:r>
      <w:r>
        <w:rPr>
          <w:rFonts w:hint="eastAsia" w:ascii="宋体" w:hAnsi="宋体" w:eastAsia="宋体" w:cs="宋体"/>
          <w:sz w:val="22"/>
          <w:szCs w:val="22"/>
        </w:rPr>
        <w:t>（担保人名称，以下简称“我方”）无条件地、不可撤销地保证：若竞标人在投标有效期内撤销响应文件，中标后无正当理由不与采购人订立合同，在签订合同时向采购人提出附加条件，不按照询比文件要求提交履约保证金，或者发生询比文件明确规定可以不予退还竞标保证金的其他情形，我方承担保证责任。收到你方书面通知后，我方在 7 日内向你方无条件支付人民币（大写）</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本保函在投标有效期内保持有效。要求我方承担保证责任的通知应在投标有效期内送达我方。</w:t>
      </w:r>
    </w:p>
    <w:p>
      <w:pPr>
        <w:adjustRightInd w:val="0"/>
        <w:snapToGrid w:val="0"/>
        <w:spacing w:line="300" w:lineRule="auto"/>
        <w:ind w:firstLine="440" w:firstLineChars="200"/>
        <w:jc w:val="left"/>
        <w:rPr>
          <w:rFonts w:ascii="宋体" w:hAnsi="宋体" w:eastAsia="宋体" w:cs="宋体"/>
          <w:sz w:val="22"/>
          <w:szCs w:val="22"/>
        </w:rPr>
      </w:pPr>
    </w:p>
    <w:p>
      <w:pPr>
        <w:tabs>
          <w:tab w:val="left" w:pos="7360"/>
        </w:tabs>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担保人名称：</w:t>
      </w:r>
      <w:r>
        <w:rPr>
          <w:rFonts w:hint="eastAsia" w:ascii="宋体" w:hAnsi="宋体" w:eastAsia="宋体" w:cs="宋体"/>
          <w:sz w:val="22"/>
          <w:szCs w:val="22"/>
          <w:u w:val="single"/>
        </w:rPr>
        <w:t xml:space="preserve">                               </w:t>
      </w:r>
      <w:r>
        <w:rPr>
          <w:rFonts w:hint="eastAsia" w:ascii="宋体" w:hAnsi="宋体" w:eastAsia="宋体" w:cs="宋体"/>
          <w:sz w:val="22"/>
          <w:szCs w:val="22"/>
        </w:rPr>
        <w:t>（盖单位章）</w:t>
      </w:r>
    </w:p>
    <w:p>
      <w:pPr>
        <w:adjustRightInd w:val="0"/>
        <w:snapToGrid w:val="0"/>
        <w:spacing w:line="300" w:lineRule="auto"/>
        <w:ind w:firstLine="440" w:firstLineChars="200"/>
        <w:jc w:val="left"/>
        <w:rPr>
          <w:rFonts w:ascii="宋体" w:hAnsi="宋体" w:eastAsia="宋体" w:cs="宋体"/>
          <w:sz w:val="22"/>
          <w:szCs w:val="22"/>
        </w:rPr>
      </w:pPr>
    </w:p>
    <w:p>
      <w:pPr>
        <w:tabs>
          <w:tab w:val="left" w:pos="7780"/>
        </w:tabs>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法定代表人（单位负责人）或委托代理人：</w:t>
      </w:r>
      <w:r>
        <w:rPr>
          <w:rFonts w:hint="eastAsia" w:ascii="宋体" w:hAnsi="宋体" w:eastAsia="宋体" w:cs="宋体"/>
          <w:sz w:val="22"/>
          <w:szCs w:val="22"/>
          <w:u w:val="single"/>
        </w:rPr>
        <w:t xml:space="preserve">          </w:t>
      </w:r>
      <w:r>
        <w:rPr>
          <w:rFonts w:hint="eastAsia" w:ascii="宋体" w:hAnsi="宋体" w:eastAsia="宋体" w:cs="宋体"/>
          <w:sz w:val="22"/>
          <w:szCs w:val="22"/>
        </w:rPr>
        <w:t>（签字）</w:t>
      </w:r>
    </w:p>
    <w:p>
      <w:pPr>
        <w:adjustRightInd w:val="0"/>
        <w:snapToGrid w:val="0"/>
        <w:spacing w:line="300" w:lineRule="auto"/>
        <w:ind w:firstLine="440" w:firstLineChars="200"/>
        <w:jc w:val="left"/>
        <w:rPr>
          <w:rFonts w:ascii="宋体" w:hAnsi="宋体" w:eastAsia="宋体" w:cs="宋体"/>
          <w:sz w:val="22"/>
          <w:szCs w:val="22"/>
        </w:rPr>
      </w:pPr>
    </w:p>
    <w:p>
      <w:pPr>
        <w:tabs>
          <w:tab w:val="left" w:pos="4160"/>
        </w:tabs>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地    址：</w:t>
      </w:r>
      <w:r>
        <w:rPr>
          <w:rFonts w:hint="eastAsia" w:ascii="宋体" w:hAnsi="宋体" w:eastAsia="宋体" w:cs="宋体"/>
          <w:sz w:val="22"/>
          <w:szCs w:val="22"/>
          <w:u w:val="single"/>
        </w:rPr>
        <w:t xml:space="preserve">                                          </w:t>
      </w:r>
    </w:p>
    <w:p>
      <w:pPr>
        <w:adjustRightInd w:val="0"/>
        <w:snapToGrid w:val="0"/>
        <w:spacing w:line="300" w:lineRule="auto"/>
        <w:ind w:firstLine="440" w:firstLineChars="200"/>
        <w:jc w:val="left"/>
        <w:rPr>
          <w:rFonts w:ascii="宋体" w:hAnsi="宋体" w:eastAsia="宋体" w:cs="宋体"/>
          <w:sz w:val="22"/>
          <w:szCs w:val="22"/>
        </w:rPr>
      </w:pPr>
    </w:p>
    <w:p>
      <w:pPr>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邮政编码：</w:t>
      </w:r>
      <w:r>
        <w:rPr>
          <w:rFonts w:hint="eastAsia" w:ascii="宋体" w:hAnsi="宋体" w:eastAsia="宋体" w:cs="宋体"/>
          <w:sz w:val="22"/>
          <w:szCs w:val="22"/>
          <w:u w:val="single"/>
        </w:rPr>
        <w:t xml:space="preserve">                                          </w:t>
      </w:r>
    </w:p>
    <w:p>
      <w:pPr>
        <w:adjustRightInd w:val="0"/>
        <w:snapToGrid w:val="0"/>
        <w:spacing w:line="300" w:lineRule="auto"/>
        <w:ind w:firstLine="440" w:firstLineChars="200"/>
        <w:jc w:val="left"/>
        <w:rPr>
          <w:rFonts w:ascii="宋体" w:hAnsi="宋体" w:eastAsia="宋体" w:cs="宋体"/>
          <w:sz w:val="22"/>
          <w:szCs w:val="22"/>
        </w:rPr>
      </w:pPr>
    </w:p>
    <w:p>
      <w:pPr>
        <w:tabs>
          <w:tab w:val="left" w:pos="4160"/>
        </w:tabs>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rPr>
        <w:t>电    话：</w:t>
      </w:r>
      <w:r>
        <w:rPr>
          <w:rFonts w:hint="eastAsia" w:ascii="宋体" w:hAnsi="宋体" w:eastAsia="宋体" w:cs="宋体"/>
          <w:sz w:val="22"/>
          <w:szCs w:val="22"/>
          <w:u w:val="single"/>
        </w:rPr>
        <w:t xml:space="preserve">                                          </w:t>
      </w:r>
    </w:p>
    <w:p>
      <w:pPr>
        <w:tabs>
          <w:tab w:val="left" w:pos="6080"/>
          <w:tab w:val="left" w:pos="6920"/>
        </w:tabs>
        <w:adjustRightInd w:val="0"/>
        <w:snapToGrid w:val="0"/>
        <w:spacing w:line="300" w:lineRule="auto"/>
        <w:ind w:firstLine="440" w:firstLineChars="200"/>
        <w:jc w:val="left"/>
        <w:rPr>
          <w:rFonts w:ascii="宋体" w:hAnsi="宋体" w:eastAsia="宋体" w:cs="宋体"/>
          <w:sz w:val="22"/>
          <w:szCs w:val="22"/>
          <w:u w:val="single"/>
        </w:rPr>
      </w:pPr>
    </w:p>
    <w:p>
      <w:pPr>
        <w:tabs>
          <w:tab w:val="left" w:pos="6080"/>
          <w:tab w:val="left" w:pos="6920"/>
        </w:tabs>
        <w:adjustRightInd w:val="0"/>
        <w:snapToGrid w:val="0"/>
        <w:spacing w:line="300" w:lineRule="auto"/>
        <w:ind w:firstLine="440" w:firstLineChars="200"/>
        <w:jc w:val="left"/>
        <w:rPr>
          <w:rFonts w:ascii="宋体" w:hAnsi="宋体" w:eastAsia="宋体" w:cs="宋体"/>
          <w:sz w:val="22"/>
          <w:szCs w:val="22"/>
        </w:rPr>
      </w:pP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w:t>
      </w:r>
    </w:p>
    <w:p>
      <w:pPr>
        <w:adjustRightInd w:val="0"/>
        <w:snapToGrid w:val="0"/>
        <w:spacing w:line="300" w:lineRule="auto"/>
        <w:jc w:val="left"/>
        <w:rPr>
          <w:rFonts w:ascii="宋体" w:hAnsi="宋体" w:eastAsia="宋体" w:cs="宋体"/>
          <w:sz w:val="22"/>
          <w:szCs w:val="22"/>
        </w:rPr>
      </w:pPr>
    </w:p>
    <w:p>
      <w:pPr>
        <w:keepNext/>
        <w:keepLines/>
        <w:spacing w:line="360" w:lineRule="exact"/>
        <w:jc w:val="center"/>
        <w:outlineLvl w:val="1"/>
        <w:rPr>
          <w:rFonts w:ascii="Arial" w:hAnsi="Arial" w:eastAsia="黑体"/>
          <w:bCs/>
          <w:color w:val="FF0000"/>
        </w:rPr>
      </w:pPr>
      <w:r>
        <w:rPr>
          <w:rFonts w:hint="eastAsia" w:ascii="宋体" w:hAnsi="宋体" w:eastAsia="黑体" w:cs="宋体"/>
          <w:b/>
          <w:sz w:val="22"/>
          <w:szCs w:val="22"/>
        </w:rPr>
        <w:t>注：允许竞标人实际开具的竞标保证金格式与本页提供的格式有所不同，但不得更改本页提供的竞标保证金格式中的实质性内容。</w:t>
      </w:r>
    </w:p>
    <w:p>
      <w:pPr>
        <w:keepNext/>
        <w:keepLines/>
        <w:snapToGrid w:val="0"/>
        <w:spacing w:line="300" w:lineRule="auto"/>
        <w:jc w:val="center"/>
        <w:outlineLvl w:val="1"/>
        <w:rPr>
          <w:rFonts w:ascii="Arial" w:hAnsi="Arial" w:eastAsia="黑体"/>
          <w:bCs/>
          <w:color w:val="FF0000"/>
        </w:rPr>
        <w:sectPr>
          <w:headerReference r:id="rId17" w:type="default"/>
          <w:pgSz w:w="11906" w:h="16838"/>
          <w:pgMar w:top="1417" w:right="1417" w:bottom="1417" w:left="1417" w:header="850" w:footer="850" w:gutter="0"/>
          <w:cols w:space="720" w:num="1"/>
          <w:docGrid w:linePitch="312" w:charSpace="0"/>
        </w:sectPr>
      </w:pPr>
    </w:p>
    <w:bookmarkEnd w:id="29"/>
    <w:bookmarkEnd w:id="30"/>
    <w:p>
      <w:pPr>
        <w:keepNext/>
        <w:keepLines/>
        <w:spacing w:before="260" w:after="260" w:line="416" w:lineRule="auto"/>
        <w:jc w:val="center"/>
        <w:outlineLvl w:val="2"/>
        <w:rPr>
          <w:rFonts w:ascii="Calibri" w:hAnsi="Arial" w:eastAsia="黑体"/>
          <w:bCs/>
        </w:rPr>
      </w:pPr>
      <w:bookmarkStart w:id="31" w:name="_Toc13261"/>
      <w:bookmarkStart w:id="32" w:name="_Toc30562"/>
      <w:r>
        <w:rPr>
          <w:rFonts w:hint="eastAsia" w:ascii="Calibri" w:hAnsi="Arial" w:eastAsia="黑体"/>
          <w:bCs/>
        </w:rPr>
        <w:t>五、资格审查资料</w:t>
      </w:r>
    </w:p>
    <w:p>
      <w:pPr>
        <w:keepNext/>
        <w:keepLines/>
        <w:spacing w:before="260" w:after="260" w:line="416" w:lineRule="auto"/>
        <w:jc w:val="center"/>
        <w:outlineLvl w:val="2"/>
        <w:rPr>
          <w:rFonts w:ascii="宋体" w:hAnsi="宋体" w:eastAsia="宋体"/>
          <w:bCs/>
          <w:sz w:val="28"/>
        </w:rPr>
      </w:pPr>
      <w:r>
        <w:rPr>
          <w:rFonts w:hint="eastAsia" w:ascii="宋体" w:hAnsi="宋体" w:eastAsia="宋体"/>
          <w:bCs/>
          <w:sz w:val="28"/>
        </w:rPr>
        <w:t>（一）基本情况表</w:t>
      </w:r>
      <w:bookmarkEnd w:id="31"/>
      <w:bookmarkEnd w:id="32"/>
    </w:p>
    <w:tbl>
      <w:tblPr>
        <w:tblStyle w:val="26"/>
        <w:tblW w:w="10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竞标人名称</w:t>
            </w:r>
          </w:p>
        </w:tc>
        <w:tc>
          <w:tcPr>
            <w:tcW w:w="8151" w:type="dxa"/>
            <w:gridSpan w:val="4"/>
            <w:vAlign w:val="center"/>
          </w:tcPr>
          <w:p>
            <w:pPr>
              <w:adjustRightInd w:val="0"/>
              <w:snapToGrid w:val="0"/>
              <w:spacing w:line="30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注册资金</w:t>
            </w:r>
          </w:p>
        </w:tc>
        <w:tc>
          <w:tcPr>
            <w:tcW w:w="4075" w:type="dxa"/>
            <w:gridSpan w:val="2"/>
            <w:vAlign w:val="center"/>
          </w:tcPr>
          <w:p>
            <w:pPr>
              <w:adjustRightInd w:val="0"/>
              <w:snapToGrid w:val="0"/>
              <w:spacing w:line="300" w:lineRule="auto"/>
              <w:jc w:val="center"/>
              <w:rPr>
                <w:rFonts w:ascii="宋体" w:hAnsi="宋体" w:eastAsia="宋体" w:cs="宋体"/>
                <w:sz w:val="18"/>
                <w:szCs w:val="18"/>
              </w:rPr>
            </w:pPr>
          </w:p>
        </w:tc>
        <w:tc>
          <w:tcPr>
            <w:tcW w:w="2038"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成立时间</w:t>
            </w:r>
          </w:p>
        </w:tc>
        <w:tc>
          <w:tcPr>
            <w:tcW w:w="2038" w:type="dxa"/>
            <w:vAlign w:val="center"/>
          </w:tcPr>
          <w:p>
            <w:pPr>
              <w:adjustRightInd w:val="0"/>
              <w:snapToGrid w:val="0"/>
              <w:spacing w:line="30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注册地址</w:t>
            </w:r>
          </w:p>
        </w:tc>
        <w:tc>
          <w:tcPr>
            <w:tcW w:w="8151" w:type="dxa"/>
            <w:gridSpan w:val="4"/>
            <w:vAlign w:val="center"/>
          </w:tcPr>
          <w:p>
            <w:pPr>
              <w:adjustRightInd w:val="0"/>
              <w:snapToGrid w:val="0"/>
              <w:spacing w:line="30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邮政编码</w:t>
            </w:r>
          </w:p>
        </w:tc>
        <w:tc>
          <w:tcPr>
            <w:tcW w:w="4075" w:type="dxa"/>
            <w:gridSpan w:val="2"/>
            <w:vAlign w:val="center"/>
          </w:tcPr>
          <w:p>
            <w:pPr>
              <w:adjustRightInd w:val="0"/>
              <w:snapToGrid w:val="0"/>
              <w:spacing w:line="300" w:lineRule="auto"/>
              <w:jc w:val="center"/>
              <w:rPr>
                <w:rFonts w:ascii="宋体" w:hAnsi="宋体" w:eastAsia="宋体" w:cs="宋体"/>
                <w:sz w:val="18"/>
                <w:szCs w:val="18"/>
              </w:rPr>
            </w:pPr>
          </w:p>
        </w:tc>
        <w:tc>
          <w:tcPr>
            <w:tcW w:w="2038"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员工总数</w:t>
            </w:r>
          </w:p>
        </w:tc>
        <w:tc>
          <w:tcPr>
            <w:tcW w:w="2038" w:type="dxa"/>
            <w:vAlign w:val="center"/>
          </w:tcPr>
          <w:p>
            <w:pPr>
              <w:adjustRightInd w:val="0"/>
              <w:snapToGrid w:val="0"/>
              <w:spacing w:line="30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restart"/>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联系方式</w:t>
            </w:r>
          </w:p>
        </w:tc>
        <w:tc>
          <w:tcPr>
            <w:tcW w:w="2037"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联系人</w:t>
            </w:r>
          </w:p>
        </w:tc>
        <w:tc>
          <w:tcPr>
            <w:tcW w:w="2038" w:type="dxa"/>
            <w:vAlign w:val="center"/>
          </w:tcPr>
          <w:p>
            <w:pPr>
              <w:adjustRightInd w:val="0"/>
              <w:snapToGrid w:val="0"/>
              <w:spacing w:line="300" w:lineRule="auto"/>
              <w:jc w:val="center"/>
              <w:rPr>
                <w:rFonts w:ascii="宋体" w:hAnsi="宋体" w:eastAsia="宋体" w:cs="宋体"/>
                <w:sz w:val="18"/>
                <w:szCs w:val="18"/>
              </w:rPr>
            </w:pPr>
          </w:p>
        </w:tc>
        <w:tc>
          <w:tcPr>
            <w:tcW w:w="2038"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电话</w:t>
            </w:r>
          </w:p>
        </w:tc>
        <w:tc>
          <w:tcPr>
            <w:tcW w:w="2038" w:type="dxa"/>
            <w:vAlign w:val="center"/>
          </w:tcPr>
          <w:p>
            <w:pPr>
              <w:adjustRightInd w:val="0"/>
              <w:snapToGrid w:val="0"/>
              <w:spacing w:line="30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continue"/>
            <w:vAlign w:val="center"/>
          </w:tcPr>
          <w:p>
            <w:pPr>
              <w:adjustRightInd w:val="0"/>
              <w:snapToGrid w:val="0"/>
              <w:spacing w:line="300" w:lineRule="auto"/>
              <w:jc w:val="center"/>
              <w:rPr>
                <w:rFonts w:ascii="宋体" w:hAnsi="宋体" w:eastAsia="宋体" w:cs="宋体"/>
                <w:sz w:val="18"/>
                <w:szCs w:val="18"/>
              </w:rPr>
            </w:pPr>
          </w:p>
        </w:tc>
        <w:tc>
          <w:tcPr>
            <w:tcW w:w="2037"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网址</w:t>
            </w:r>
          </w:p>
        </w:tc>
        <w:tc>
          <w:tcPr>
            <w:tcW w:w="2038" w:type="dxa"/>
            <w:vAlign w:val="center"/>
          </w:tcPr>
          <w:p>
            <w:pPr>
              <w:adjustRightInd w:val="0"/>
              <w:snapToGrid w:val="0"/>
              <w:spacing w:line="300" w:lineRule="auto"/>
              <w:jc w:val="center"/>
              <w:rPr>
                <w:rFonts w:ascii="宋体" w:hAnsi="宋体" w:eastAsia="宋体" w:cs="宋体"/>
                <w:sz w:val="18"/>
                <w:szCs w:val="18"/>
              </w:rPr>
            </w:pPr>
          </w:p>
        </w:tc>
        <w:tc>
          <w:tcPr>
            <w:tcW w:w="2038"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传真</w:t>
            </w:r>
          </w:p>
        </w:tc>
        <w:tc>
          <w:tcPr>
            <w:tcW w:w="2038" w:type="dxa"/>
            <w:vAlign w:val="center"/>
          </w:tcPr>
          <w:p>
            <w:pPr>
              <w:adjustRightInd w:val="0"/>
              <w:snapToGrid w:val="0"/>
              <w:spacing w:line="30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2037"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法定代表人</w:t>
            </w:r>
          </w:p>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（单位负责人）</w:t>
            </w:r>
          </w:p>
        </w:tc>
        <w:tc>
          <w:tcPr>
            <w:tcW w:w="2037"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姓名</w:t>
            </w:r>
          </w:p>
        </w:tc>
        <w:tc>
          <w:tcPr>
            <w:tcW w:w="2038" w:type="dxa"/>
            <w:vAlign w:val="center"/>
          </w:tcPr>
          <w:p>
            <w:pPr>
              <w:adjustRightInd w:val="0"/>
              <w:snapToGrid w:val="0"/>
              <w:spacing w:line="300" w:lineRule="auto"/>
              <w:jc w:val="center"/>
              <w:rPr>
                <w:rFonts w:ascii="宋体" w:hAnsi="宋体" w:eastAsia="宋体" w:cs="宋体"/>
                <w:sz w:val="18"/>
                <w:szCs w:val="18"/>
              </w:rPr>
            </w:pPr>
          </w:p>
        </w:tc>
        <w:tc>
          <w:tcPr>
            <w:tcW w:w="2038"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电话</w:t>
            </w:r>
          </w:p>
        </w:tc>
        <w:tc>
          <w:tcPr>
            <w:tcW w:w="2038" w:type="dxa"/>
            <w:vAlign w:val="center"/>
          </w:tcPr>
          <w:p>
            <w:pPr>
              <w:adjustRightInd w:val="0"/>
              <w:snapToGrid w:val="0"/>
              <w:spacing w:line="30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037"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竞标人须知要求竞标人需具有的各类证书</w:t>
            </w:r>
          </w:p>
        </w:tc>
        <w:tc>
          <w:tcPr>
            <w:tcW w:w="8151" w:type="dxa"/>
            <w:gridSpan w:val="4"/>
            <w:vAlign w:val="center"/>
          </w:tcPr>
          <w:p>
            <w:pPr>
              <w:adjustRightInd w:val="0"/>
              <w:snapToGrid w:val="0"/>
              <w:spacing w:line="300" w:lineRule="auto"/>
              <w:jc w:val="left"/>
              <w:rPr>
                <w:rFonts w:ascii="宋体" w:hAnsi="宋体" w:eastAsia="宋体" w:cs="宋体"/>
                <w:sz w:val="18"/>
                <w:szCs w:val="18"/>
              </w:rPr>
            </w:pPr>
            <w:r>
              <w:rPr>
                <w:rFonts w:hint="eastAsia" w:ascii="宋体" w:hAnsi="宋体" w:eastAsia="宋体" w:cs="宋体"/>
                <w:sz w:val="18"/>
                <w:szCs w:val="18"/>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基本账户开户银行</w:t>
            </w:r>
          </w:p>
        </w:tc>
        <w:tc>
          <w:tcPr>
            <w:tcW w:w="8151" w:type="dxa"/>
            <w:gridSpan w:val="4"/>
            <w:vAlign w:val="center"/>
          </w:tcPr>
          <w:p>
            <w:pPr>
              <w:adjustRightInd w:val="0"/>
              <w:snapToGrid w:val="0"/>
              <w:spacing w:line="30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基本账户银行账号</w:t>
            </w:r>
          </w:p>
        </w:tc>
        <w:tc>
          <w:tcPr>
            <w:tcW w:w="8151" w:type="dxa"/>
            <w:gridSpan w:val="4"/>
            <w:vAlign w:val="center"/>
          </w:tcPr>
          <w:p>
            <w:pPr>
              <w:adjustRightInd w:val="0"/>
              <w:snapToGrid w:val="0"/>
              <w:spacing w:line="30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jc w:val="center"/>
        </w:trPr>
        <w:tc>
          <w:tcPr>
            <w:tcW w:w="2037"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竞标人关联企业情况（包括但不限于与竞标人法定代表人（单位负责人）为同一人或者存在控股、管理关系的不同单位）</w:t>
            </w:r>
          </w:p>
        </w:tc>
        <w:tc>
          <w:tcPr>
            <w:tcW w:w="8151" w:type="dxa"/>
            <w:gridSpan w:val="4"/>
            <w:vAlign w:val="center"/>
          </w:tcPr>
          <w:p>
            <w:pPr>
              <w:adjustRightInd w:val="0"/>
              <w:snapToGrid w:val="0"/>
              <w:spacing w:line="30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037"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其它资料</w:t>
            </w:r>
          </w:p>
        </w:tc>
        <w:tc>
          <w:tcPr>
            <w:tcW w:w="8151" w:type="dxa"/>
            <w:gridSpan w:val="4"/>
            <w:vAlign w:val="center"/>
          </w:tcPr>
          <w:p>
            <w:pPr>
              <w:adjustRightInd w:val="0"/>
              <w:snapToGrid w:val="0"/>
              <w:spacing w:line="300" w:lineRule="auto"/>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037" w:type="dxa"/>
            <w:vAlign w:val="center"/>
          </w:tcPr>
          <w:p>
            <w:pPr>
              <w:adjustRightInd w:val="0"/>
              <w:snapToGrid w:val="0"/>
              <w:spacing w:line="300" w:lineRule="auto"/>
              <w:jc w:val="center"/>
              <w:rPr>
                <w:rFonts w:ascii="宋体" w:hAnsi="宋体" w:eastAsia="宋体" w:cs="宋体"/>
                <w:sz w:val="18"/>
                <w:szCs w:val="18"/>
              </w:rPr>
            </w:pPr>
            <w:r>
              <w:rPr>
                <w:rFonts w:hint="eastAsia" w:ascii="宋体" w:hAnsi="宋体" w:eastAsia="宋体" w:cs="宋体"/>
                <w:sz w:val="18"/>
                <w:szCs w:val="18"/>
              </w:rPr>
              <w:t>备注</w:t>
            </w:r>
          </w:p>
        </w:tc>
        <w:tc>
          <w:tcPr>
            <w:tcW w:w="8151" w:type="dxa"/>
            <w:gridSpan w:val="4"/>
            <w:vAlign w:val="center"/>
          </w:tcPr>
          <w:p>
            <w:pPr>
              <w:adjustRightInd w:val="0"/>
              <w:snapToGrid w:val="0"/>
              <w:spacing w:line="300" w:lineRule="auto"/>
              <w:jc w:val="center"/>
              <w:rPr>
                <w:rFonts w:ascii="宋体" w:hAnsi="宋体" w:eastAsia="宋体" w:cs="宋体"/>
                <w:sz w:val="18"/>
                <w:szCs w:val="18"/>
              </w:rPr>
            </w:pPr>
          </w:p>
        </w:tc>
      </w:tr>
    </w:tbl>
    <w:p>
      <w:pPr>
        <w:adjustRightInd w:val="0"/>
        <w:snapToGrid w:val="0"/>
        <w:spacing w:line="300" w:lineRule="auto"/>
        <w:ind w:firstLine="360" w:firstLineChars="200"/>
        <w:jc w:val="left"/>
        <w:rPr>
          <w:rFonts w:ascii="宋体" w:hAnsi="宋体" w:eastAsia="宋体" w:cs="宋体"/>
          <w:sz w:val="18"/>
          <w:szCs w:val="18"/>
        </w:rPr>
      </w:pPr>
      <w:r>
        <w:rPr>
          <w:rFonts w:hint="eastAsia" w:ascii="宋体" w:hAnsi="宋体" w:eastAsia="宋体" w:cs="宋体"/>
          <w:sz w:val="18"/>
          <w:szCs w:val="18"/>
        </w:rPr>
        <w:t>注：1. 竞标人应在本表后附相关证明材料。境内竞标人以现金或者支票形式提交竞标保证金的，还应附基本账户开户许可证复印件。</w:t>
      </w:r>
    </w:p>
    <w:p>
      <w:pPr>
        <w:adjustRightInd w:val="0"/>
        <w:snapToGrid w:val="0"/>
        <w:spacing w:line="300" w:lineRule="auto"/>
        <w:ind w:firstLine="360" w:firstLineChars="200"/>
        <w:jc w:val="left"/>
        <w:rPr>
          <w:rFonts w:ascii="宋体" w:hAnsi="宋体" w:eastAsia="宋体" w:cs="宋体"/>
          <w:sz w:val="18"/>
          <w:szCs w:val="18"/>
        </w:rPr>
      </w:pPr>
      <w:r>
        <w:rPr>
          <w:rFonts w:hint="eastAsia" w:ascii="宋体" w:hAnsi="宋体" w:eastAsia="宋体" w:cs="宋体"/>
          <w:sz w:val="18"/>
          <w:szCs w:val="18"/>
        </w:rPr>
        <w:t>2、营业执照及相关资质证明材料。</w:t>
      </w:r>
    </w:p>
    <w:p>
      <w:pPr>
        <w:jc w:val="left"/>
        <w:rPr>
          <w:rFonts w:ascii="Calibri" w:hAnsi="Calibri" w:eastAsia="宋体"/>
          <w:sz w:val="10"/>
          <w:szCs w:val="10"/>
        </w:rPr>
      </w:pPr>
      <w:bookmarkStart w:id="33" w:name="page89"/>
      <w:bookmarkEnd w:id="33"/>
      <w:bookmarkStart w:id="34" w:name="_Toc31676"/>
      <w:bookmarkStart w:id="35" w:name="_Toc14124"/>
    </w:p>
    <w:p>
      <w:pPr>
        <w:keepNext/>
        <w:keepLines/>
        <w:spacing w:before="260" w:after="260" w:line="416" w:lineRule="auto"/>
        <w:jc w:val="center"/>
        <w:outlineLvl w:val="2"/>
        <w:rPr>
          <w:rFonts w:ascii="宋体" w:hAnsi="宋体" w:eastAsia="宋体"/>
          <w:bCs/>
          <w:sz w:val="28"/>
        </w:rPr>
      </w:pPr>
      <w:r>
        <w:rPr>
          <w:rFonts w:hint="eastAsia" w:ascii="宋体" w:hAnsi="宋体" w:eastAsia="宋体"/>
          <w:bCs/>
          <w:sz w:val="28"/>
        </w:rPr>
        <w:t>（二）</w:t>
      </w:r>
      <w:bookmarkEnd w:id="34"/>
      <w:bookmarkEnd w:id="35"/>
      <w:bookmarkStart w:id="36" w:name="_Toc22198"/>
      <w:bookmarkStart w:id="37" w:name="_Toc10207"/>
      <w:r>
        <w:rPr>
          <w:rFonts w:hint="eastAsia" w:ascii="宋体" w:hAnsi="宋体" w:eastAsia="宋体"/>
          <w:bCs/>
          <w:sz w:val="28"/>
        </w:rPr>
        <w:t>近年（2016年1月1日至今）完成的类似项目情况表</w:t>
      </w:r>
      <w:bookmarkEnd w:id="36"/>
      <w:bookmarkEnd w:id="37"/>
    </w:p>
    <w:tbl>
      <w:tblPr>
        <w:tblStyle w:val="26"/>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2160" w:type="dxa"/>
            <w:vAlign w:val="center"/>
          </w:tcPr>
          <w:p>
            <w:pPr>
              <w:adjustRightInd w:val="0"/>
              <w:snapToGrid w:val="0"/>
              <w:spacing w:line="300" w:lineRule="auto"/>
              <w:jc w:val="center"/>
              <w:rPr>
                <w:rFonts w:ascii="宋体" w:hAnsi="宋体" w:eastAsia="宋体" w:cs="宋体"/>
                <w:sz w:val="22"/>
                <w:szCs w:val="22"/>
              </w:rPr>
            </w:pPr>
            <w:r>
              <w:rPr>
                <w:rFonts w:hint="eastAsia" w:ascii="宋体" w:hAnsi="宋体" w:eastAsia="宋体" w:cs="宋体"/>
                <w:sz w:val="22"/>
                <w:szCs w:val="22"/>
              </w:rPr>
              <w:t>项目名称</w:t>
            </w:r>
          </w:p>
        </w:tc>
        <w:tc>
          <w:tcPr>
            <w:tcW w:w="7320" w:type="dxa"/>
            <w:vAlign w:val="center"/>
          </w:tcPr>
          <w:p>
            <w:pPr>
              <w:adjustRightInd w:val="0"/>
              <w:snapToGrid w:val="0"/>
              <w:spacing w:line="300" w:lineRule="auto"/>
              <w:jc w:val="center"/>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2160" w:type="dxa"/>
            <w:vAlign w:val="center"/>
          </w:tcPr>
          <w:p>
            <w:pPr>
              <w:adjustRightInd w:val="0"/>
              <w:snapToGrid w:val="0"/>
              <w:spacing w:line="300" w:lineRule="auto"/>
              <w:jc w:val="center"/>
              <w:rPr>
                <w:rFonts w:ascii="宋体" w:hAnsi="宋体" w:eastAsia="宋体" w:cs="宋体"/>
                <w:sz w:val="22"/>
                <w:szCs w:val="22"/>
              </w:rPr>
            </w:pPr>
            <w:r>
              <w:rPr>
                <w:rFonts w:hint="eastAsia" w:ascii="宋体" w:hAnsi="宋体" w:eastAsia="宋体" w:cs="宋体"/>
                <w:sz w:val="22"/>
                <w:szCs w:val="22"/>
              </w:rPr>
              <w:t>甲方名称</w:t>
            </w:r>
          </w:p>
        </w:tc>
        <w:tc>
          <w:tcPr>
            <w:tcW w:w="7320" w:type="dxa"/>
            <w:vAlign w:val="center"/>
          </w:tcPr>
          <w:p>
            <w:pPr>
              <w:adjustRightInd w:val="0"/>
              <w:snapToGrid w:val="0"/>
              <w:spacing w:line="300" w:lineRule="auto"/>
              <w:jc w:val="center"/>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2160" w:type="dxa"/>
            <w:vAlign w:val="center"/>
          </w:tcPr>
          <w:p>
            <w:pPr>
              <w:adjustRightInd w:val="0"/>
              <w:snapToGrid w:val="0"/>
              <w:spacing w:line="300" w:lineRule="auto"/>
              <w:jc w:val="center"/>
              <w:rPr>
                <w:rFonts w:ascii="宋体" w:hAnsi="宋体" w:eastAsia="宋体" w:cs="宋体"/>
                <w:sz w:val="22"/>
                <w:szCs w:val="22"/>
              </w:rPr>
            </w:pPr>
            <w:r>
              <w:rPr>
                <w:rFonts w:hint="eastAsia" w:ascii="宋体" w:hAnsi="宋体" w:eastAsia="宋体" w:cs="宋体"/>
                <w:sz w:val="22"/>
                <w:szCs w:val="22"/>
              </w:rPr>
              <w:t>甲方联系人及电话</w:t>
            </w:r>
          </w:p>
        </w:tc>
        <w:tc>
          <w:tcPr>
            <w:tcW w:w="7320" w:type="dxa"/>
            <w:vAlign w:val="center"/>
          </w:tcPr>
          <w:p>
            <w:pPr>
              <w:adjustRightInd w:val="0"/>
              <w:snapToGrid w:val="0"/>
              <w:spacing w:line="300" w:lineRule="auto"/>
              <w:jc w:val="center"/>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2160" w:type="dxa"/>
            <w:vAlign w:val="center"/>
          </w:tcPr>
          <w:p>
            <w:pPr>
              <w:adjustRightInd w:val="0"/>
              <w:snapToGrid w:val="0"/>
              <w:spacing w:line="300" w:lineRule="auto"/>
              <w:jc w:val="center"/>
              <w:rPr>
                <w:rFonts w:ascii="宋体" w:hAnsi="宋体" w:eastAsia="宋体" w:cs="宋体"/>
                <w:sz w:val="22"/>
                <w:szCs w:val="22"/>
              </w:rPr>
            </w:pPr>
            <w:r>
              <w:rPr>
                <w:rFonts w:hint="eastAsia" w:ascii="宋体" w:hAnsi="宋体" w:eastAsia="宋体" w:cs="宋体"/>
                <w:sz w:val="22"/>
                <w:szCs w:val="22"/>
              </w:rPr>
              <w:t>合同总价</w:t>
            </w:r>
          </w:p>
        </w:tc>
        <w:tc>
          <w:tcPr>
            <w:tcW w:w="7320" w:type="dxa"/>
            <w:vAlign w:val="center"/>
          </w:tcPr>
          <w:p>
            <w:pPr>
              <w:adjustRightInd w:val="0"/>
              <w:snapToGrid w:val="0"/>
              <w:spacing w:line="300" w:lineRule="auto"/>
              <w:jc w:val="center"/>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2160" w:type="dxa"/>
            <w:vAlign w:val="center"/>
          </w:tcPr>
          <w:p>
            <w:pPr>
              <w:adjustRightInd w:val="0"/>
              <w:snapToGrid w:val="0"/>
              <w:spacing w:line="300" w:lineRule="auto"/>
              <w:jc w:val="center"/>
              <w:rPr>
                <w:rFonts w:ascii="宋体" w:hAnsi="宋体" w:eastAsia="宋体" w:cs="宋体"/>
                <w:sz w:val="22"/>
                <w:szCs w:val="22"/>
              </w:rPr>
            </w:pPr>
            <w:r>
              <w:rPr>
                <w:rFonts w:hint="eastAsia" w:ascii="宋体" w:hAnsi="宋体" w:eastAsia="宋体" w:cs="宋体"/>
                <w:sz w:val="22"/>
                <w:szCs w:val="22"/>
              </w:rPr>
              <w:t>项目概况及竞标人履约情况</w:t>
            </w:r>
          </w:p>
        </w:tc>
        <w:tc>
          <w:tcPr>
            <w:tcW w:w="7320" w:type="dxa"/>
            <w:vAlign w:val="center"/>
          </w:tcPr>
          <w:p>
            <w:pPr>
              <w:adjustRightInd w:val="0"/>
              <w:snapToGrid w:val="0"/>
              <w:spacing w:line="300" w:lineRule="auto"/>
              <w:jc w:val="center"/>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2160" w:type="dxa"/>
            <w:vAlign w:val="center"/>
          </w:tcPr>
          <w:p>
            <w:pPr>
              <w:adjustRightInd w:val="0"/>
              <w:snapToGrid w:val="0"/>
              <w:spacing w:line="300" w:lineRule="auto"/>
              <w:jc w:val="center"/>
              <w:rPr>
                <w:rFonts w:ascii="宋体" w:hAnsi="宋体" w:eastAsia="宋体" w:cs="宋体"/>
                <w:sz w:val="22"/>
                <w:szCs w:val="22"/>
              </w:rPr>
            </w:pPr>
            <w:r>
              <w:rPr>
                <w:rFonts w:hint="eastAsia" w:ascii="宋体" w:hAnsi="宋体" w:eastAsia="宋体" w:cs="宋体"/>
                <w:sz w:val="22"/>
                <w:szCs w:val="22"/>
              </w:rPr>
              <w:t>备注</w:t>
            </w:r>
          </w:p>
        </w:tc>
        <w:tc>
          <w:tcPr>
            <w:tcW w:w="7320" w:type="dxa"/>
            <w:vAlign w:val="center"/>
          </w:tcPr>
          <w:p>
            <w:pPr>
              <w:adjustRightInd w:val="0"/>
              <w:snapToGrid w:val="0"/>
              <w:spacing w:line="300" w:lineRule="auto"/>
              <w:jc w:val="center"/>
              <w:rPr>
                <w:rFonts w:ascii="宋体" w:hAnsi="宋体" w:eastAsia="宋体" w:cs="宋体"/>
                <w:sz w:val="22"/>
                <w:szCs w:val="22"/>
              </w:rPr>
            </w:pPr>
          </w:p>
        </w:tc>
      </w:tr>
    </w:tbl>
    <w:p>
      <w:pPr>
        <w:adjustRightInd w:val="0"/>
        <w:snapToGrid w:val="0"/>
        <w:spacing w:line="300" w:lineRule="auto"/>
        <w:jc w:val="left"/>
        <w:rPr>
          <w:rFonts w:ascii="宋体" w:hAnsi="宋体" w:eastAsia="宋体" w:cs="宋体"/>
          <w:sz w:val="22"/>
          <w:szCs w:val="22"/>
        </w:rPr>
      </w:pPr>
      <w:r>
        <w:rPr>
          <w:rFonts w:hint="eastAsia" w:ascii="宋体" w:hAnsi="宋体" w:eastAsia="宋体" w:cs="宋体"/>
          <w:sz w:val="22"/>
          <w:szCs w:val="22"/>
        </w:rPr>
        <w:t>注：</w:t>
      </w:r>
    </w:p>
    <w:p>
      <w:pPr>
        <w:adjustRightInd w:val="0"/>
        <w:snapToGrid w:val="0"/>
        <w:spacing w:line="360" w:lineRule="auto"/>
        <w:jc w:val="left"/>
        <w:rPr>
          <w:rFonts w:ascii="宋体" w:hAnsi="宋体" w:eastAsia="宋体" w:cs="宋体"/>
          <w:sz w:val="22"/>
          <w:szCs w:val="22"/>
        </w:rPr>
      </w:pPr>
      <w:r>
        <w:rPr>
          <w:rFonts w:hint="eastAsia" w:ascii="宋体" w:hAnsi="宋体" w:eastAsia="宋体" w:cs="宋体"/>
          <w:sz w:val="22"/>
          <w:szCs w:val="22"/>
        </w:rPr>
        <w:t>1.每个合同填写一份表格。</w:t>
      </w:r>
    </w:p>
    <w:p>
      <w:pPr>
        <w:snapToGrid w:val="0"/>
        <w:spacing w:line="360" w:lineRule="auto"/>
        <w:ind w:right="166" w:rightChars="52"/>
        <w:rPr>
          <w:rFonts w:eastAsia="楷体_GB2312"/>
          <w:b/>
          <w:color w:val="000000"/>
          <w:sz w:val="24"/>
        </w:rPr>
      </w:pPr>
      <w:r>
        <w:rPr>
          <w:rFonts w:hint="eastAsia" w:ascii="宋体" w:hAnsi="宋体" w:eastAsia="宋体" w:cs="宋体"/>
          <w:sz w:val="22"/>
          <w:szCs w:val="22"/>
        </w:rPr>
        <w:t>2.业绩证明材料：合同复印件（</w:t>
      </w:r>
      <w:r>
        <w:rPr>
          <w:rFonts w:hint="eastAsia" w:eastAsia="楷体_GB2312"/>
          <w:b/>
          <w:color w:val="000000"/>
          <w:sz w:val="24"/>
        </w:rPr>
        <w:t>若合同协议书不能反映工作内容的，须提供业主证明等其他证明材料，</w:t>
      </w:r>
      <w:r>
        <w:rPr>
          <w:rFonts w:hint="eastAsia" w:ascii="宋体" w:hAnsi="宋体" w:eastAsia="宋体" w:cs="宋体"/>
          <w:sz w:val="22"/>
          <w:szCs w:val="22"/>
        </w:rPr>
        <w:t>否则该业绩无效）</w:t>
      </w:r>
    </w:p>
    <w:p>
      <w:pPr>
        <w:adjustRightInd w:val="0"/>
        <w:snapToGrid w:val="0"/>
        <w:spacing w:line="360" w:lineRule="auto"/>
        <w:rPr>
          <w:rFonts w:ascii="Calibri" w:hAnsi="Calibri" w:eastAsia="宋体"/>
          <w:sz w:val="24"/>
          <w:szCs w:val="24"/>
        </w:rPr>
      </w:pPr>
      <w:bookmarkStart w:id="38" w:name="page96"/>
      <w:bookmarkEnd w:id="38"/>
      <w:bookmarkStart w:id="39" w:name="page91"/>
      <w:bookmarkEnd w:id="39"/>
    </w:p>
    <w:p>
      <w:pPr>
        <w:adjustRightInd w:val="0"/>
        <w:snapToGrid w:val="0"/>
        <w:spacing w:line="300" w:lineRule="auto"/>
        <w:rPr>
          <w:rFonts w:ascii="Calibri" w:hAnsi="Calibri" w:eastAsia="宋体"/>
          <w:sz w:val="24"/>
          <w:szCs w:val="24"/>
        </w:rPr>
      </w:pPr>
    </w:p>
    <w:p>
      <w:pPr>
        <w:adjustRightInd w:val="0"/>
        <w:snapToGrid w:val="0"/>
        <w:spacing w:line="300" w:lineRule="auto"/>
        <w:rPr>
          <w:rFonts w:ascii="Calibri" w:hAnsi="Calibri" w:eastAsia="宋体"/>
          <w:sz w:val="24"/>
          <w:szCs w:val="24"/>
        </w:rPr>
      </w:pPr>
    </w:p>
    <w:p>
      <w:pPr>
        <w:adjustRightInd w:val="0"/>
        <w:snapToGrid w:val="0"/>
        <w:spacing w:line="300" w:lineRule="auto"/>
        <w:rPr>
          <w:rFonts w:ascii="Calibri" w:hAnsi="Calibri" w:eastAsia="宋体"/>
          <w:sz w:val="24"/>
          <w:szCs w:val="24"/>
        </w:rPr>
      </w:pPr>
    </w:p>
    <w:p>
      <w:pPr>
        <w:adjustRightInd w:val="0"/>
        <w:snapToGrid w:val="0"/>
        <w:spacing w:line="300" w:lineRule="auto"/>
        <w:rPr>
          <w:rFonts w:ascii="Calibri" w:hAnsi="Calibri" w:eastAsia="宋体"/>
          <w:sz w:val="24"/>
          <w:szCs w:val="24"/>
        </w:rPr>
      </w:pPr>
    </w:p>
    <w:p>
      <w:pPr>
        <w:adjustRightInd w:val="0"/>
        <w:snapToGrid w:val="0"/>
        <w:spacing w:line="300" w:lineRule="auto"/>
        <w:rPr>
          <w:rFonts w:ascii="Calibri" w:hAnsi="Calibri" w:eastAsia="宋体"/>
          <w:sz w:val="24"/>
          <w:szCs w:val="24"/>
        </w:rPr>
      </w:pPr>
    </w:p>
    <w:p>
      <w:pPr>
        <w:adjustRightInd w:val="0"/>
        <w:snapToGrid w:val="0"/>
        <w:spacing w:line="300" w:lineRule="auto"/>
        <w:rPr>
          <w:rFonts w:ascii="Calibri" w:hAnsi="Calibri" w:eastAsia="宋体"/>
          <w:sz w:val="24"/>
          <w:szCs w:val="24"/>
        </w:rPr>
      </w:pPr>
    </w:p>
    <w:p>
      <w:pPr>
        <w:adjustRightInd w:val="0"/>
        <w:snapToGrid w:val="0"/>
        <w:spacing w:line="300" w:lineRule="auto"/>
        <w:rPr>
          <w:rFonts w:ascii="Calibri" w:hAnsi="Calibri" w:eastAsia="宋体"/>
          <w:sz w:val="24"/>
          <w:szCs w:val="24"/>
        </w:rPr>
      </w:pPr>
    </w:p>
    <w:p>
      <w:pPr>
        <w:adjustRightInd w:val="0"/>
        <w:snapToGrid w:val="0"/>
        <w:spacing w:line="300" w:lineRule="auto"/>
        <w:rPr>
          <w:rFonts w:ascii="Calibri" w:hAnsi="Calibri" w:eastAsia="宋体"/>
          <w:sz w:val="24"/>
          <w:szCs w:val="24"/>
        </w:rPr>
      </w:pPr>
    </w:p>
    <w:p>
      <w:pPr>
        <w:adjustRightInd w:val="0"/>
        <w:snapToGrid w:val="0"/>
        <w:spacing w:line="300" w:lineRule="auto"/>
        <w:rPr>
          <w:rFonts w:ascii="Calibri" w:hAnsi="Calibri" w:eastAsia="宋体"/>
          <w:sz w:val="24"/>
          <w:szCs w:val="24"/>
        </w:rPr>
      </w:pPr>
    </w:p>
    <w:p>
      <w:pPr>
        <w:adjustRightInd w:val="0"/>
        <w:snapToGrid w:val="0"/>
        <w:spacing w:line="300" w:lineRule="auto"/>
        <w:jc w:val="center"/>
        <w:rPr>
          <w:rFonts w:ascii="Calibri" w:hAnsi="Calibri" w:eastAsia="宋体"/>
          <w:sz w:val="24"/>
          <w:szCs w:val="24"/>
        </w:rPr>
      </w:pPr>
      <w:r>
        <w:rPr>
          <w:rFonts w:hint="eastAsia" w:ascii="Calibri" w:hAnsi="Calibri" w:eastAsia="宋体"/>
          <w:sz w:val="24"/>
          <w:szCs w:val="24"/>
        </w:rPr>
        <w:t>（三）信誉证明资料</w:t>
      </w:r>
    </w:p>
    <w:p>
      <w:pPr>
        <w:adjustRightInd w:val="0"/>
        <w:snapToGrid w:val="0"/>
        <w:spacing w:line="300" w:lineRule="auto"/>
        <w:rPr>
          <w:rFonts w:ascii="Calibri" w:hAnsi="Calibri" w:eastAsia="宋体"/>
          <w:sz w:val="24"/>
          <w:szCs w:val="24"/>
        </w:rPr>
      </w:pPr>
      <w:bookmarkStart w:id="40" w:name="page97"/>
      <w:bookmarkEnd w:id="40"/>
    </w:p>
    <w:tbl>
      <w:tblPr>
        <w:tblStyle w:val="2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4"/>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5104" w:type="dxa"/>
            <w:vAlign w:val="center"/>
          </w:tcPr>
          <w:p>
            <w:pPr>
              <w:adjustRightInd w:val="0"/>
              <w:snapToGrid w:val="0"/>
              <w:spacing w:line="300" w:lineRule="auto"/>
              <w:ind w:firstLine="1560" w:firstLineChars="650"/>
              <w:rPr>
                <w:rFonts w:ascii="仿宋" w:hAnsi="仿宋" w:eastAsia="仿宋"/>
                <w:sz w:val="24"/>
                <w:szCs w:val="24"/>
              </w:rPr>
            </w:pPr>
            <w:r>
              <w:rPr>
                <w:rFonts w:hint="eastAsia" w:ascii="仿宋" w:hAnsi="仿宋" w:eastAsia="仿宋"/>
                <w:sz w:val="24"/>
                <w:szCs w:val="24"/>
              </w:rPr>
              <w:t>信用</w:t>
            </w:r>
            <w:r>
              <w:rPr>
                <w:rFonts w:ascii="仿宋" w:hAnsi="仿宋" w:eastAsia="仿宋"/>
                <w:sz w:val="24"/>
                <w:szCs w:val="24"/>
              </w:rPr>
              <w:t>要求</w:t>
            </w:r>
          </w:p>
        </w:tc>
        <w:tc>
          <w:tcPr>
            <w:tcW w:w="3968" w:type="dxa"/>
            <w:vAlign w:val="center"/>
          </w:tcPr>
          <w:p>
            <w:pPr>
              <w:adjustRightInd w:val="0"/>
              <w:snapToGrid w:val="0"/>
              <w:spacing w:line="300" w:lineRule="auto"/>
              <w:rPr>
                <w:rFonts w:ascii="仿宋" w:hAnsi="仿宋" w:eastAsia="仿宋"/>
                <w:sz w:val="24"/>
                <w:szCs w:val="24"/>
              </w:rPr>
            </w:pPr>
            <w:r>
              <w:rPr>
                <w:rFonts w:hint="eastAsia" w:ascii="仿宋" w:hAnsi="仿宋" w:eastAsia="仿宋"/>
                <w:sz w:val="24"/>
                <w:szCs w:val="24"/>
              </w:rPr>
              <w:t>竞标人情况说明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04" w:type="dxa"/>
            <w:vAlign w:val="center"/>
          </w:tcPr>
          <w:p>
            <w:pPr>
              <w:adjustRightInd w:val="0"/>
              <w:snapToGrid w:val="0"/>
              <w:spacing w:line="300" w:lineRule="auto"/>
              <w:jc w:val="left"/>
              <w:rPr>
                <w:rFonts w:ascii="仿宋" w:hAnsi="仿宋" w:eastAsia="仿宋"/>
                <w:sz w:val="28"/>
                <w:szCs w:val="28"/>
              </w:rPr>
            </w:pPr>
            <w:r>
              <w:rPr>
                <w:rFonts w:hint="eastAsia" w:ascii="仿宋" w:hAnsi="仿宋" w:eastAsia="仿宋"/>
                <w:sz w:val="28"/>
                <w:szCs w:val="28"/>
              </w:rPr>
              <w:t>（1）被责令停业，暂扣或吊销执照，或吊销资质证书。</w:t>
            </w:r>
          </w:p>
        </w:tc>
        <w:tc>
          <w:tcPr>
            <w:tcW w:w="3968" w:type="dxa"/>
            <w:vAlign w:val="center"/>
          </w:tcPr>
          <w:p>
            <w:pPr>
              <w:adjustRightInd w:val="0"/>
              <w:snapToGrid w:val="0"/>
              <w:spacing w:line="30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04" w:type="dxa"/>
            <w:vAlign w:val="center"/>
          </w:tcPr>
          <w:p>
            <w:pPr>
              <w:adjustRightInd w:val="0"/>
              <w:snapToGrid w:val="0"/>
              <w:spacing w:line="300" w:lineRule="auto"/>
              <w:jc w:val="left"/>
              <w:rPr>
                <w:rFonts w:ascii="仿宋" w:hAnsi="仿宋" w:eastAsia="仿宋"/>
                <w:sz w:val="28"/>
                <w:szCs w:val="28"/>
              </w:rPr>
            </w:pPr>
            <w:r>
              <w:rPr>
                <w:rFonts w:hint="eastAsia" w:ascii="仿宋" w:hAnsi="仿宋" w:eastAsia="仿宋"/>
                <w:sz w:val="28"/>
                <w:szCs w:val="28"/>
              </w:rPr>
              <w:t>（2）进入清算程序，或被宣告破产，或其他丧失履约能力的情形。</w:t>
            </w:r>
          </w:p>
        </w:tc>
        <w:tc>
          <w:tcPr>
            <w:tcW w:w="3968" w:type="dxa"/>
            <w:vAlign w:val="center"/>
          </w:tcPr>
          <w:p>
            <w:pPr>
              <w:adjustRightInd w:val="0"/>
              <w:snapToGrid w:val="0"/>
              <w:spacing w:line="30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5104" w:type="dxa"/>
            <w:vAlign w:val="center"/>
          </w:tcPr>
          <w:p>
            <w:pPr>
              <w:adjustRightInd w:val="0"/>
              <w:snapToGrid w:val="0"/>
              <w:spacing w:line="300" w:lineRule="auto"/>
              <w:jc w:val="left"/>
              <w:rPr>
                <w:rFonts w:ascii="仿宋" w:hAnsi="仿宋" w:eastAsia="仿宋"/>
                <w:sz w:val="28"/>
                <w:szCs w:val="28"/>
              </w:rPr>
            </w:pPr>
            <w:r>
              <w:rPr>
                <w:rFonts w:hint="eastAsia" w:ascii="仿宋" w:hAnsi="仿宋" w:eastAsia="仿宋"/>
                <w:sz w:val="28"/>
                <w:szCs w:val="28"/>
              </w:rPr>
              <w:t>（3）在国家企业信用信息公示系统（http://www.gsxt.gov.cn）中被列入严重违法失信企业名单。</w:t>
            </w:r>
          </w:p>
        </w:tc>
        <w:tc>
          <w:tcPr>
            <w:tcW w:w="3968" w:type="dxa"/>
            <w:vAlign w:val="center"/>
          </w:tcPr>
          <w:p>
            <w:pPr>
              <w:adjustRightInd w:val="0"/>
              <w:snapToGrid w:val="0"/>
              <w:spacing w:line="30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5104" w:type="dxa"/>
            <w:vAlign w:val="center"/>
          </w:tcPr>
          <w:p>
            <w:pPr>
              <w:adjustRightInd w:val="0"/>
              <w:snapToGrid w:val="0"/>
              <w:spacing w:line="300" w:lineRule="auto"/>
              <w:jc w:val="left"/>
              <w:rPr>
                <w:rFonts w:ascii="仿宋" w:hAnsi="仿宋" w:eastAsia="仿宋"/>
                <w:sz w:val="28"/>
                <w:szCs w:val="28"/>
              </w:rPr>
            </w:pPr>
            <w:r>
              <w:rPr>
                <w:rFonts w:hint="eastAsia" w:ascii="仿宋" w:hAnsi="仿宋" w:eastAsia="仿宋"/>
                <w:sz w:val="28"/>
                <w:szCs w:val="28"/>
              </w:rPr>
              <w:t>（4）</w:t>
            </w:r>
            <w:r>
              <w:fldChar w:fldCharType="begin"/>
            </w:r>
            <w:r>
              <w:instrText xml:space="preserve"> HYPERLINK "http://www.creditchina.gov.cn/" \h </w:instrText>
            </w:r>
            <w:r>
              <w:fldChar w:fldCharType="separate"/>
            </w:r>
            <w:r>
              <w:rPr>
                <w:rFonts w:hint="eastAsia" w:ascii="仿宋" w:hAnsi="仿宋" w:eastAsia="仿宋"/>
                <w:sz w:val="28"/>
                <w:szCs w:val="28"/>
              </w:rPr>
              <w:t>在“信用中国”网站（http://w</w:t>
            </w:r>
            <w:r>
              <w:rPr>
                <w:rFonts w:hint="eastAsia" w:ascii="仿宋" w:hAnsi="仿宋" w:eastAsia="仿宋"/>
                <w:sz w:val="28"/>
                <w:szCs w:val="28"/>
              </w:rPr>
              <w:fldChar w:fldCharType="end"/>
            </w:r>
            <w:r>
              <w:rPr>
                <w:rFonts w:hint="eastAsia" w:ascii="仿宋" w:hAnsi="仿宋" w:eastAsia="仿宋"/>
                <w:sz w:val="28"/>
                <w:szCs w:val="28"/>
              </w:rPr>
              <w:t>w</w:t>
            </w:r>
            <w:r>
              <w:fldChar w:fldCharType="begin"/>
            </w:r>
            <w:r>
              <w:instrText xml:space="preserve"> HYPERLINK "http://www.creditchina.gov.cn/" \h </w:instrText>
            </w:r>
            <w:r>
              <w:fldChar w:fldCharType="separate"/>
            </w:r>
            <w:r>
              <w:rPr>
                <w:rFonts w:hint="eastAsia" w:ascii="仿宋" w:hAnsi="仿宋" w:eastAsia="仿宋"/>
                <w:sz w:val="28"/>
                <w:szCs w:val="28"/>
              </w:rPr>
              <w:t>w.creditchina.gov.c</w:t>
            </w:r>
            <w:r>
              <w:rPr>
                <w:rFonts w:hint="eastAsia" w:ascii="仿宋" w:hAnsi="仿宋" w:eastAsia="仿宋"/>
                <w:sz w:val="28"/>
                <w:szCs w:val="28"/>
              </w:rPr>
              <w:fldChar w:fldCharType="end"/>
            </w:r>
            <w:r>
              <w:rPr>
                <w:rFonts w:hint="eastAsia" w:ascii="仿宋" w:hAnsi="仿宋" w:eastAsia="仿宋"/>
                <w:sz w:val="28"/>
                <w:szCs w:val="28"/>
              </w:rPr>
              <w:t>n）中被列入失信被执行人名单。</w:t>
            </w:r>
          </w:p>
        </w:tc>
        <w:tc>
          <w:tcPr>
            <w:tcW w:w="3968" w:type="dxa"/>
            <w:vAlign w:val="center"/>
          </w:tcPr>
          <w:p>
            <w:pPr>
              <w:adjustRightInd w:val="0"/>
              <w:snapToGrid w:val="0"/>
              <w:spacing w:line="30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5104" w:type="dxa"/>
            <w:vAlign w:val="center"/>
          </w:tcPr>
          <w:p>
            <w:pPr>
              <w:adjustRightInd w:val="0"/>
              <w:snapToGrid w:val="0"/>
              <w:spacing w:line="300" w:lineRule="auto"/>
              <w:jc w:val="left"/>
              <w:rPr>
                <w:rFonts w:ascii="仿宋" w:hAnsi="仿宋" w:eastAsia="仿宋"/>
                <w:sz w:val="28"/>
                <w:szCs w:val="28"/>
              </w:rPr>
            </w:pPr>
            <w:r>
              <w:rPr>
                <w:rFonts w:hint="eastAsia" w:ascii="仿宋" w:hAnsi="仿宋" w:eastAsia="仿宋"/>
                <w:sz w:val="28"/>
                <w:szCs w:val="28"/>
              </w:rPr>
              <w:t>（5）竞标人和其法定代表人、拟委任的项目经理或项目设计负责人在近三年内有行贿犯罪行为的。</w:t>
            </w:r>
          </w:p>
        </w:tc>
        <w:tc>
          <w:tcPr>
            <w:tcW w:w="3968" w:type="dxa"/>
            <w:vAlign w:val="center"/>
          </w:tcPr>
          <w:p>
            <w:pPr>
              <w:adjustRightInd w:val="0"/>
              <w:snapToGrid w:val="0"/>
              <w:spacing w:line="30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5104" w:type="dxa"/>
            <w:vAlign w:val="center"/>
          </w:tcPr>
          <w:p>
            <w:pPr>
              <w:widowControl/>
              <w:adjustRightInd w:val="0"/>
              <w:snapToGrid w:val="0"/>
              <w:spacing w:line="360" w:lineRule="auto"/>
              <w:jc w:val="left"/>
              <w:rPr>
                <w:rFonts w:ascii="仿宋" w:hAnsi="仿宋" w:eastAsia="仿宋" w:cs="仿宋"/>
                <w:color w:val="000000"/>
                <w:sz w:val="28"/>
                <w:szCs w:val="28"/>
              </w:rPr>
            </w:pPr>
            <w:r>
              <w:rPr>
                <w:rFonts w:hint="eastAsia" w:ascii="仿宋" w:hAnsi="仿宋" w:eastAsia="仿宋"/>
                <w:sz w:val="28"/>
                <w:szCs w:val="28"/>
              </w:rPr>
              <w:t>（6）</w:t>
            </w:r>
            <w:r>
              <w:rPr>
                <w:rFonts w:hint="eastAsia" w:ascii="仿宋" w:hAnsi="仿宋" w:eastAsia="仿宋" w:cs="仿宋"/>
                <w:color w:val="000000"/>
                <w:sz w:val="28"/>
                <w:szCs w:val="28"/>
              </w:rPr>
              <w:t>没有被税务部门列入重大税收违法案件当事人名单的。</w:t>
            </w:r>
          </w:p>
        </w:tc>
        <w:tc>
          <w:tcPr>
            <w:tcW w:w="3968" w:type="dxa"/>
            <w:vAlign w:val="center"/>
          </w:tcPr>
          <w:p>
            <w:pPr>
              <w:adjustRightInd w:val="0"/>
              <w:snapToGrid w:val="0"/>
              <w:spacing w:line="30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5104" w:type="dxa"/>
            <w:vAlign w:val="center"/>
          </w:tcPr>
          <w:p>
            <w:pPr>
              <w:widowControl/>
              <w:adjustRightInd w:val="0"/>
              <w:snapToGrid w:val="0"/>
              <w:spacing w:line="360" w:lineRule="auto"/>
              <w:jc w:val="left"/>
              <w:rPr>
                <w:rFonts w:ascii="仿宋" w:hAnsi="仿宋" w:eastAsia="仿宋" w:cs="仿宋"/>
                <w:color w:val="000000"/>
                <w:sz w:val="28"/>
                <w:szCs w:val="28"/>
              </w:rPr>
            </w:pPr>
            <w:r>
              <w:rPr>
                <w:rFonts w:hint="eastAsia" w:ascii="仿宋" w:hAnsi="仿宋" w:eastAsia="仿宋"/>
                <w:sz w:val="28"/>
                <w:szCs w:val="28"/>
              </w:rPr>
              <w:t>（7）</w:t>
            </w:r>
            <w:r>
              <w:rPr>
                <w:rFonts w:hint="eastAsia" w:ascii="仿宋" w:hAnsi="仿宋" w:eastAsia="仿宋" w:cs="仿宋"/>
                <w:color w:val="000000"/>
                <w:sz w:val="28"/>
                <w:szCs w:val="28"/>
              </w:rPr>
              <w:t>竞标人没有正受到在本采购项目所在地市级行政区域内取消投标资格的行政处罚。</w:t>
            </w:r>
          </w:p>
        </w:tc>
        <w:tc>
          <w:tcPr>
            <w:tcW w:w="3968" w:type="dxa"/>
            <w:vAlign w:val="center"/>
          </w:tcPr>
          <w:p>
            <w:pPr>
              <w:adjustRightInd w:val="0"/>
              <w:snapToGrid w:val="0"/>
              <w:spacing w:line="300" w:lineRule="auto"/>
              <w:rPr>
                <w:rFonts w:ascii="仿宋" w:hAnsi="仿宋" w:eastAsia="仿宋"/>
                <w:sz w:val="24"/>
                <w:szCs w:val="24"/>
              </w:rPr>
            </w:pPr>
          </w:p>
        </w:tc>
      </w:tr>
    </w:tbl>
    <w:p>
      <w:pPr>
        <w:adjustRightInd w:val="0"/>
        <w:snapToGrid w:val="0"/>
        <w:spacing w:line="300" w:lineRule="auto"/>
        <w:rPr>
          <w:rFonts w:ascii="仿宋" w:hAnsi="仿宋" w:eastAsia="仿宋"/>
          <w:sz w:val="24"/>
          <w:szCs w:val="24"/>
        </w:rPr>
      </w:pPr>
      <w:r>
        <w:rPr>
          <w:rFonts w:hint="eastAsia" w:ascii="仿宋" w:hAnsi="仿宋" w:eastAsia="仿宋"/>
          <w:sz w:val="24"/>
          <w:szCs w:val="24"/>
        </w:rPr>
        <w:t>1.本表后应附：</w:t>
      </w:r>
    </w:p>
    <w:p>
      <w:pPr>
        <w:adjustRightInd w:val="0"/>
        <w:snapToGrid w:val="0"/>
        <w:spacing w:line="300" w:lineRule="auto"/>
        <w:rPr>
          <w:rFonts w:ascii="仿宋" w:hAnsi="仿宋" w:eastAsia="仿宋"/>
          <w:sz w:val="24"/>
          <w:szCs w:val="24"/>
        </w:rPr>
      </w:pPr>
      <w:r>
        <w:rPr>
          <w:rFonts w:hint="eastAsia" w:ascii="仿宋" w:hAnsi="仿宋" w:eastAsia="仿宋"/>
          <w:sz w:val="24"/>
          <w:szCs w:val="24"/>
        </w:rPr>
        <w:t>（1）竞标人在全国企业信用信息公示系统中未被列入严重违法失信企业名单的网页截图复印件；</w:t>
      </w:r>
    </w:p>
    <w:p>
      <w:pPr>
        <w:adjustRightInd w:val="0"/>
        <w:snapToGrid w:val="0"/>
        <w:spacing w:line="300" w:lineRule="auto"/>
        <w:rPr>
          <w:rFonts w:ascii="仿宋" w:hAnsi="仿宋" w:eastAsia="仿宋"/>
          <w:sz w:val="24"/>
          <w:szCs w:val="24"/>
        </w:rPr>
      </w:pPr>
      <w:r>
        <w:rPr>
          <w:rFonts w:hint="eastAsia" w:ascii="仿宋" w:hAnsi="仿宋" w:eastAsia="仿宋"/>
          <w:sz w:val="24"/>
          <w:szCs w:val="24"/>
        </w:rPr>
        <w:t>（2）竞标人在</w:t>
      </w:r>
      <w:r>
        <w:fldChar w:fldCharType="begin"/>
      </w:r>
      <w:r>
        <w:instrText xml:space="preserve"> HYPERLINK "http://www.creditchina.gov.cn/" \h </w:instrText>
      </w:r>
      <w:r>
        <w:fldChar w:fldCharType="separate"/>
      </w:r>
      <w:r>
        <w:rPr>
          <w:rFonts w:hint="eastAsia" w:ascii="仿宋" w:hAnsi="仿宋" w:eastAsia="仿宋"/>
          <w:sz w:val="24"/>
          <w:szCs w:val="24"/>
        </w:rPr>
        <w:t>“信用中国”网站中未被列入失信被执行人名单的网页截图复印件</w:t>
      </w:r>
      <w:r>
        <w:rPr>
          <w:rFonts w:hint="eastAsia" w:ascii="仿宋" w:hAnsi="仿宋" w:eastAsia="仿宋"/>
          <w:sz w:val="24"/>
          <w:szCs w:val="24"/>
        </w:rPr>
        <w:fldChar w:fldCharType="end"/>
      </w:r>
      <w:r>
        <w:rPr>
          <w:rFonts w:hint="eastAsia" w:ascii="仿宋" w:hAnsi="仿宋" w:eastAsia="仿宋"/>
          <w:sz w:val="24"/>
          <w:szCs w:val="24"/>
        </w:rPr>
        <w:t>；</w:t>
      </w:r>
    </w:p>
    <w:p>
      <w:pPr>
        <w:adjustRightInd w:val="0"/>
        <w:snapToGrid w:val="0"/>
        <w:spacing w:line="300" w:lineRule="auto"/>
        <w:rPr>
          <w:rFonts w:ascii="仿宋" w:hAnsi="仿宋" w:eastAsia="仿宋"/>
          <w:sz w:val="24"/>
          <w:szCs w:val="24"/>
        </w:rPr>
      </w:pPr>
      <w:r>
        <w:rPr>
          <w:rFonts w:hint="eastAsia" w:ascii="仿宋" w:hAnsi="仿宋" w:eastAsia="仿宋"/>
          <w:sz w:val="24"/>
          <w:szCs w:val="24"/>
        </w:rPr>
        <w:t>（3）近三年内竞标人及其法定代表人（如有更换，则需全部提供）、拟委任的项目负责人均无行贿犯罪行为的承诺函（承诺函格式见本表后）；</w:t>
      </w:r>
    </w:p>
    <w:p>
      <w:pPr>
        <w:adjustRightInd w:val="0"/>
        <w:snapToGrid w:val="0"/>
        <w:spacing w:line="300" w:lineRule="auto"/>
        <w:rPr>
          <w:rFonts w:ascii="仿宋" w:hAnsi="仿宋" w:eastAsia="仿宋"/>
          <w:sz w:val="24"/>
          <w:szCs w:val="24"/>
        </w:rPr>
      </w:pPr>
      <w:r>
        <w:rPr>
          <w:rFonts w:hint="eastAsia" w:ascii="仿宋" w:hAnsi="仿宋" w:eastAsia="仿宋"/>
          <w:sz w:val="24"/>
          <w:szCs w:val="24"/>
        </w:rPr>
        <w:t>2.竞标人应如实填报，若经查实竞标人存在瞒报行为，将取消其投标或中标资格。</w:t>
      </w:r>
    </w:p>
    <w:p>
      <w:pPr>
        <w:adjustRightInd w:val="0"/>
        <w:snapToGrid w:val="0"/>
        <w:spacing w:line="300" w:lineRule="auto"/>
        <w:ind w:firstLine="3480" w:firstLineChars="1450"/>
        <w:rPr>
          <w:rFonts w:ascii="Calibri" w:hAnsi="Calibri" w:eastAsia="宋体"/>
          <w:sz w:val="24"/>
          <w:szCs w:val="24"/>
        </w:rPr>
      </w:pPr>
      <w:r>
        <w:rPr>
          <w:rFonts w:hint="eastAsia" w:ascii="Calibri" w:hAnsi="Calibri" w:eastAsia="宋体"/>
          <w:sz w:val="24"/>
          <w:szCs w:val="24"/>
        </w:rPr>
        <w:br w:type="page"/>
      </w:r>
      <w:r>
        <w:rPr>
          <w:rFonts w:hint="eastAsia" w:ascii="Calibri" w:hAnsi="Calibri" w:eastAsia="宋体"/>
          <w:b/>
          <w:bCs/>
          <w:sz w:val="30"/>
          <w:szCs w:val="30"/>
        </w:rPr>
        <w:t>承诺函</w:t>
      </w:r>
    </w:p>
    <w:p>
      <w:pPr>
        <w:adjustRightInd w:val="0"/>
        <w:snapToGrid w:val="0"/>
        <w:spacing w:line="300" w:lineRule="auto"/>
        <w:rPr>
          <w:rFonts w:ascii="Calibri" w:hAnsi="Calibri" w:eastAsia="宋体"/>
          <w:sz w:val="24"/>
          <w:szCs w:val="24"/>
        </w:rPr>
      </w:pPr>
    </w:p>
    <w:p>
      <w:pPr>
        <w:adjustRightInd w:val="0"/>
        <w:snapToGrid w:val="0"/>
        <w:spacing w:line="300" w:lineRule="auto"/>
        <w:rPr>
          <w:rFonts w:ascii="Calibri" w:hAnsi="Calibri" w:eastAsia="宋体"/>
          <w:sz w:val="30"/>
          <w:szCs w:val="30"/>
        </w:rPr>
      </w:pPr>
      <w:r>
        <w:rPr>
          <w:rFonts w:hint="eastAsia" w:ascii="Calibri" w:hAnsi="Calibri" w:eastAsia="宋体"/>
          <w:sz w:val="30"/>
          <w:szCs w:val="30"/>
        </w:rPr>
        <w:t>致：（竞标人）</w:t>
      </w:r>
    </w:p>
    <w:p>
      <w:pPr>
        <w:widowControl/>
        <w:adjustRightInd w:val="0"/>
        <w:snapToGrid w:val="0"/>
        <w:spacing w:line="360" w:lineRule="auto"/>
        <w:ind w:firstLine="900" w:firstLineChars="300"/>
        <w:jc w:val="left"/>
        <w:rPr>
          <w:rFonts w:ascii="仿宋" w:hAnsi="仿宋" w:eastAsia="仿宋" w:cs="仿宋"/>
          <w:color w:val="000000"/>
          <w:sz w:val="30"/>
          <w:szCs w:val="30"/>
        </w:rPr>
      </w:pPr>
      <w:r>
        <w:rPr>
          <w:rFonts w:hint="eastAsia" w:ascii="仿宋" w:hAnsi="仿宋" w:eastAsia="仿宋"/>
          <w:sz w:val="30"/>
          <w:szCs w:val="30"/>
        </w:rPr>
        <w:t>我单位参与   （项目名称）  项目的投标，现在此承诺：至投标截止时间为止，我单位、法定代表人及拟委任本项目的项目负责人近三年内均无任何经检察机关认定的行贿犯罪行为，</w:t>
      </w:r>
      <w:r>
        <w:rPr>
          <w:rFonts w:hint="eastAsia" w:ascii="仿宋" w:hAnsi="仿宋" w:eastAsia="仿宋" w:cs="仿宋"/>
          <w:color w:val="000000"/>
          <w:sz w:val="30"/>
          <w:szCs w:val="30"/>
        </w:rPr>
        <w:t>没有正受到在本采购项目所在地市级行政区域内取消投标资格的行政处罚，没有被税务部门列入重大税收违法案件当事人名单的。</w:t>
      </w:r>
      <w:r>
        <w:rPr>
          <w:rFonts w:hint="eastAsia" w:ascii="仿宋" w:hAnsi="仿宋" w:eastAsia="仿宋"/>
          <w:sz w:val="30"/>
          <w:szCs w:val="30"/>
        </w:rPr>
        <w:t>竞标人有提供虚假文件材料、串标或中标后不履约等情况时，采购人除有权随时取消其成交资格，记入投标信用记录，三年内不得参与本公司的投标，还将向有关主管部门通报。造成采购人损失的，采购人将依法索赔。竞标单位须对自己的承诺的真实性负责。否则将取消我单位的投标资格，特此承诺。</w:t>
      </w:r>
    </w:p>
    <w:p>
      <w:pPr>
        <w:adjustRightInd w:val="0"/>
        <w:snapToGrid w:val="0"/>
        <w:spacing w:line="360" w:lineRule="auto"/>
        <w:rPr>
          <w:rFonts w:ascii="Calibri" w:hAnsi="Calibri" w:eastAsia="宋体"/>
          <w:sz w:val="24"/>
          <w:szCs w:val="24"/>
        </w:rPr>
      </w:pPr>
    </w:p>
    <w:p>
      <w:pPr>
        <w:adjustRightInd w:val="0"/>
        <w:snapToGrid w:val="0"/>
        <w:spacing w:line="300" w:lineRule="auto"/>
        <w:rPr>
          <w:rFonts w:ascii="Calibri" w:hAnsi="Calibri" w:eastAsia="宋体"/>
          <w:sz w:val="24"/>
          <w:szCs w:val="24"/>
        </w:rPr>
      </w:pPr>
    </w:p>
    <w:p>
      <w:pPr>
        <w:adjustRightInd w:val="0"/>
        <w:snapToGrid w:val="0"/>
        <w:spacing w:line="300" w:lineRule="auto"/>
        <w:jc w:val="right"/>
        <w:rPr>
          <w:rFonts w:ascii="Calibri" w:hAnsi="Calibri" w:eastAsia="宋体"/>
          <w:sz w:val="24"/>
          <w:szCs w:val="24"/>
        </w:rPr>
      </w:pPr>
    </w:p>
    <w:p>
      <w:pPr>
        <w:adjustRightInd w:val="0"/>
        <w:snapToGrid w:val="0"/>
        <w:spacing w:line="300" w:lineRule="auto"/>
        <w:jc w:val="right"/>
        <w:rPr>
          <w:rFonts w:ascii="Calibri" w:hAnsi="Calibri" w:eastAsia="宋体"/>
          <w:sz w:val="24"/>
          <w:szCs w:val="24"/>
        </w:rPr>
      </w:pPr>
      <w:r>
        <w:rPr>
          <w:rFonts w:hint="eastAsia" w:ascii="Calibri" w:hAnsi="Calibri" w:eastAsia="宋体"/>
          <w:sz w:val="24"/>
          <w:szCs w:val="24"/>
        </w:rPr>
        <w:t>竞标人：（加盖公章）</w:t>
      </w:r>
    </w:p>
    <w:p>
      <w:pPr>
        <w:adjustRightInd w:val="0"/>
        <w:snapToGrid w:val="0"/>
        <w:spacing w:line="300" w:lineRule="auto"/>
        <w:jc w:val="right"/>
        <w:rPr>
          <w:rFonts w:ascii="Calibri" w:hAnsi="Calibri" w:eastAsia="宋体"/>
          <w:sz w:val="24"/>
          <w:szCs w:val="24"/>
        </w:rPr>
      </w:pPr>
    </w:p>
    <w:p>
      <w:pPr>
        <w:adjustRightInd w:val="0"/>
        <w:snapToGrid w:val="0"/>
        <w:spacing w:line="300" w:lineRule="auto"/>
        <w:jc w:val="right"/>
        <w:rPr>
          <w:rFonts w:ascii="Calibri" w:hAnsi="Calibri" w:eastAsia="宋体"/>
          <w:sz w:val="24"/>
          <w:szCs w:val="24"/>
        </w:rPr>
        <w:sectPr>
          <w:headerReference r:id="rId18" w:type="default"/>
          <w:footnotePr>
            <w:numFmt w:val="decimalEnclosedCircleChinese"/>
            <w:numRestart w:val="eachPage"/>
          </w:footnotePr>
          <w:pgSz w:w="11906" w:h="16838"/>
          <w:pgMar w:top="1418" w:right="1304" w:bottom="1418" w:left="1588" w:header="851" w:footer="851" w:gutter="0"/>
          <w:cols w:space="720" w:num="1"/>
          <w:docGrid w:type="lines" w:linePitch="312" w:charSpace="0"/>
        </w:sectPr>
      </w:pPr>
      <w:r>
        <w:rPr>
          <w:rFonts w:hint="eastAsia" w:ascii="Calibri" w:hAnsi="Calibri" w:eastAsia="宋体"/>
          <w:sz w:val="24"/>
          <w:szCs w:val="24"/>
        </w:rPr>
        <w:t xml:space="preserve">      年   月   日</w:t>
      </w:r>
    </w:p>
    <w:p>
      <w:pPr>
        <w:adjustRightInd w:val="0"/>
        <w:snapToGrid w:val="0"/>
        <w:spacing w:line="300" w:lineRule="auto"/>
        <w:ind w:firstLine="2040" w:firstLineChars="850"/>
        <w:rPr>
          <w:rFonts w:ascii="Calibri" w:hAnsi="Calibri" w:eastAsia="宋体"/>
          <w:sz w:val="24"/>
          <w:szCs w:val="24"/>
        </w:rPr>
      </w:pPr>
      <w:r>
        <w:rPr>
          <w:rFonts w:hint="eastAsia" w:ascii="Calibri" w:hAnsi="Calibri" w:eastAsia="宋体"/>
          <w:sz w:val="24"/>
          <w:szCs w:val="24"/>
        </w:rPr>
        <w:t>（四） 拟委任的项目负责人资历表</w:t>
      </w:r>
    </w:p>
    <w:tbl>
      <w:tblPr>
        <w:tblStyle w:val="2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63"/>
        <w:gridCol w:w="483"/>
        <w:gridCol w:w="591"/>
        <w:gridCol w:w="1177"/>
        <w:gridCol w:w="1362"/>
        <w:gridCol w:w="194"/>
        <w:gridCol w:w="1444"/>
        <w:gridCol w:w="323"/>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姓  名</w:t>
            </w:r>
          </w:p>
        </w:tc>
        <w:tc>
          <w:tcPr>
            <w:tcW w:w="1437" w:type="dxa"/>
            <w:gridSpan w:val="3"/>
            <w:vAlign w:val="center"/>
          </w:tcPr>
          <w:p>
            <w:pPr>
              <w:adjustRightInd w:val="0"/>
              <w:snapToGrid w:val="0"/>
              <w:spacing w:line="300" w:lineRule="auto"/>
              <w:rPr>
                <w:rFonts w:ascii="Calibri" w:hAnsi="Calibri" w:eastAsia="宋体"/>
                <w:sz w:val="24"/>
                <w:szCs w:val="24"/>
              </w:rPr>
            </w:pPr>
          </w:p>
        </w:tc>
        <w:tc>
          <w:tcPr>
            <w:tcW w:w="1177" w:type="dxa"/>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年  龄</w:t>
            </w:r>
          </w:p>
        </w:tc>
        <w:tc>
          <w:tcPr>
            <w:tcW w:w="1362" w:type="dxa"/>
            <w:vAlign w:val="center"/>
          </w:tcPr>
          <w:p>
            <w:pPr>
              <w:adjustRightInd w:val="0"/>
              <w:snapToGrid w:val="0"/>
              <w:spacing w:line="300" w:lineRule="auto"/>
              <w:rPr>
                <w:rFonts w:ascii="Calibri" w:hAnsi="Calibri" w:eastAsia="宋体"/>
                <w:sz w:val="24"/>
                <w:szCs w:val="24"/>
              </w:rPr>
            </w:pPr>
          </w:p>
        </w:tc>
        <w:tc>
          <w:tcPr>
            <w:tcW w:w="1961" w:type="dxa"/>
            <w:gridSpan w:val="3"/>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专  业</w:t>
            </w:r>
          </w:p>
        </w:tc>
        <w:tc>
          <w:tcPr>
            <w:tcW w:w="1863" w:type="dxa"/>
            <w:vAlign w:val="center"/>
          </w:tcPr>
          <w:p>
            <w:pPr>
              <w:adjustRightInd w:val="0"/>
              <w:snapToGrid w:val="0"/>
              <w:spacing w:line="300" w:lineRule="auto"/>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2" w:type="dxa"/>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技术职称</w:t>
            </w:r>
          </w:p>
        </w:tc>
        <w:tc>
          <w:tcPr>
            <w:tcW w:w="1437" w:type="dxa"/>
            <w:gridSpan w:val="3"/>
            <w:vAlign w:val="center"/>
          </w:tcPr>
          <w:p>
            <w:pPr>
              <w:adjustRightInd w:val="0"/>
              <w:snapToGrid w:val="0"/>
              <w:spacing w:line="300" w:lineRule="auto"/>
              <w:rPr>
                <w:rFonts w:ascii="Calibri" w:hAnsi="Calibri" w:eastAsia="宋体"/>
                <w:sz w:val="24"/>
                <w:szCs w:val="24"/>
              </w:rPr>
            </w:pPr>
          </w:p>
        </w:tc>
        <w:tc>
          <w:tcPr>
            <w:tcW w:w="1177" w:type="dxa"/>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学  历</w:t>
            </w:r>
          </w:p>
        </w:tc>
        <w:tc>
          <w:tcPr>
            <w:tcW w:w="1362" w:type="dxa"/>
            <w:vAlign w:val="center"/>
          </w:tcPr>
          <w:p>
            <w:pPr>
              <w:adjustRightInd w:val="0"/>
              <w:snapToGrid w:val="0"/>
              <w:spacing w:line="300" w:lineRule="auto"/>
              <w:rPr>
                <w:rFonts w:ascii="Calibri" w:hAnsi="Calibri" w:eastAsia="宋体"/>
                <w:sz w:val="24"/>
                <w:szCs w:val="24"/>
              </w:rPr>
            </w:pPr>
          </w:p>
        </w:tc>
        <w:tc>
          <w:tcPr>
            <w:tcW w:w="1961" w:type="dxa"/>
            <w:gridSpan w:val="3"/>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拟在本标段</w:t>
            </w:r>
          </w:p>
          <w:p>
            <w:pPr>
              <w:adjustRightInd w:val="0"/>
              <w:snapToGrid w:val="0"/>
              <w:spacing w:line="300" w:lineRule="auto"/>
              <w:rPr>
                <w:rFonts w:ascii="Calibri" w:hAnsi="Calibri" w:eastAsia="宋体"/>
                <w:sz w:val="24"/>
                <w:szCs w:val="24"/>
              </w:rPr>
            </w:pPr>
            <w:r>
              <w:rPr>
                <w:rFonts w:hint="eastAsia" w:ascii="Calibri" w:hAnsi="Calibri" w:eastAsia="宋体"/>
                <w:sz w:val="24"/>
                <w:szCs w:val="24"/>
              </w:rPr>
              <w:t>工程任职</w:t>
            </w:r>
          </w:p>
        </w:tc>
        <w:tc>
          <w:tcPr>
            <w:tcW w:w="1863" w:type="dxa"/>
            <w:vAlign w:val="center"/>
          </w:tcPr>
          <w:p>
            <w:pPr>
              <w:adjustRightInd w:val="0"/>
              <w:snapToGrid w:val="0"/>
              <w:spacing w:line="300" w:lineRule="auto"/>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2" w:type="dxa"/>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工作年限</w:t>
            </w:r>
          </w:p>
        </w:tc>
        <w:tc>
          <w:tcPr>
            <w:tcW w:w="3976" w:type="dxa"/>
            <w:gridSpan w:val="5"/>
            <w:vAlign w:val="center"/>
          </w:tcPr>
          <w:p>
            <w:pPr>
              <w:adjustRightInd w:val="0"/>
              <w:snapToGrid w:val="0"/>
              <w:spacing w:line="300" w:lineRule="auto"/>
              <w:rPr>
                <w:rFonts w:ascii="Calibri" w:hAnsi="Calibri" w:eastAsia="宋体"/>
                <w:sz w:val="24"/>
                <w:szCs w:val="24"/>
              </w:rPr>
            </w:pPr>
          </w:p>
        </w:tc>
        <w:tc>
          <w:tcPr>
            <w:tcW w:w="1961" w:type="dxa"/>
            <w:gridSpan w:val="3"/>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类似施工经验年限</w:t>
            </w:r>
          </w:p>
        </w:tc>
        <w:tc>
          <w:tcPr>
            <w:tcW w:w="1863" w:type="dxa"/>
            <w:vAlign w:val="center"/>
          </w:tcPr>
          <w:p>
            <w:pPr>
              <w:adjustRightInd w:val="0"/>
              <w:snapToGrid w:val="0"/>
              <w:spacing w:line="300" w:lineRule="auto"/>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毕业学校</w:t>
            </w:r>
          </w:p>
        </w:tc>
        <w:tc>
          <w:tcPr>
            <w:tcW w:w="7800" w:type="dxa"/>
            <w:gridSpan w:val="9"/>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 xml:space="preserve">    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2" w:type="dxa"/>
            <w:gridSpan w:val="10"/>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35" w:type="dxa"/>
            <w:gridSpan w:val="2"/>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时  间</w:t>
            </w:r>
          </w:p>
        </w:tc>
        <w:tc>
          <w:tcPr>
            <w:tcW w:w="3807" w:type="dxa"/>
            <w:gridSpan w:val="5"/>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参加过的类似工程项目名称</w:t>
            </w:r>
          </w:p>
        </w:tc>
        <w:tc>
          <w:tcPr>
            <w:tcW w:w="1444" w:type="dxa"/>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担任职务</w:t>
            </w:r>
          </w:p>
        </w:tc>
        <w:tc>
          <w:tcPr>
            <w:tcW w:w="2186" w:type="dxa"/>
            <w:gridSpan w:val="2"/>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5" w:type="dxa"/>
            <w:gridSpan w:val="2"/>
          </w:tcPr>
          <w:p>
            <w:pPr>
              <w:adjustRightInd w:val="0"/>
              <w:snapToGrid w:val="0"/>
              <w:spacing w:line="300" w:lineRule="auto"/>
              <w:rPr>
                <w:rFonts w:ascii="Calibri" w:hAnsi="Calibri" w:eastAsia="宋体"/>
                <w:sz w:val="24"/>
                <w:szCs w:val="24"/>
              </w:rPr>
            </w:pPr>
          </w:p>
        </w:tc>
        <w:tc>
          <w:tcPr>
            <w:tcW w:w="3807" w:type="dxa"/>
            <w:gridSpan w:val="5"/>
          </w:tcPr>
          <w:p>
            <w:pPr>
              <w:adjustRightInd w:val="0"/>
              <w:snapToGrid w:val="0"/>
              <w:spacing w:line="300" w:lineRule="auto"/>
              <w:rPr>
                <w:rFonts w:ascii="Calibri" w:hAnsi="Calibri" w:eastAsia="宋体"/>
                <w:sz w:val="24"/>
                <w:szCs w:val="24"/>
              </w:rPr>
            </w:pPr>
          </w:p>
        </w:tc>
        <w:tc>
          <w:tcPr>
            <w:tcW w:w="1444" w:type="dxa"/>
          </w:tcPr>
          <w:p>
            <w:pPr>
              <w:adjustRightInd w:val="0"/>
              <w:snapToGrid w:val="0"/>
              <w:spacing w:line="300" w:lineRule="auto"/>
              <w:rPr>
                <w:rFonts w:ascii="Calibri" w:hAnsi="Calibri" w:eastAsia="宋体"/>
                <w:sz w:val="24"/>
                <w:szCs w:val="24"/>
              </w:rPr>
            </w:pPr>
          </w:p>
        </w:tc>
        <w:tc>
          <w:tcPr>
            <w:tcW w:w="2186" w:type="dxa"/>
            <w:gridSpan w:val="2"/>
          </w:tcPr>
          <w:p>
            <w:pPr>
              <w:adjustRightInd w:val="0"/>
              <w:snapToGrid w:val="0"/>
              <w:spacing w:line="300" w:lineRule="auto"/>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5" w:type="dxa"/>
            <w:gridSpan w:val="2"/>
          </w:tcPr>
          <w:p>
            <w:pPr>
              <w:adjustRightInd w:val="0"/>
              <w:snapToGrid w:val="0"/>
              <w:spacing w:line="300" w:lineRule="auto"/>
              <w:rPr>
                <w:rFonts w:ascii="Calibri" w:hAnsi="Calibri" w:eastAsia="宋体"/>
                <w:sz w:val="24"/>
                <w:szCs w:val="24"/>
              </w:rPr>
            </w:pPr>
          </w:p>
        </w:tc>
        <w:tc>
          <w:tcPr>
            <w:tcW w:w="3807" w:type="dxa"/>
            <w:gridSpan w:val="5"/>
          </w:tcPr>
          <w:p>
            <w:pPr>
              <w:adjustRightInd w:val="0"/>
              <w:snapToGrid w:val="0"/>
              <w:spacing w:line="300" w:lineRule="auto"/>
              <w:rPr>
                <w:rFonts w:ascii="Calibri" w:hAnsi="Calibri" w:eastAsia="宋体"/>
                <w:sz w:val="24"/>
                <w:szCs w:val="24"/>
              </w:rPr>
            </w:pPr>
          </w:p>
        </w:tc>
        <w:tc>
          <w:tcPr>
            <w:tcW w:w="1444" w:type="dxa"/>
          </w:tcPr>
          <w:p>
            <w:pPr>
              <w:adjustRightInd w:val="0"/>
              <w:snapToGrid w:val="0"/>
              <w:spacing w:line="300" w:lineRule="auto"/>
              <w:rPr>
                <w:rFonts w:ascii="Calibri" w:hAnsi="Calibri" w:eastAsia="宋体"/>
                <w:sz w:val="24"/>
                <w:szCs w:val="24"/>
              </w:rPr>
            </w:pPr>
          </w:p>
        </w:tc>
        <w:tc>
          <w:tcPr>
            <w:tcW w:w="2186" w:type="dxa"/>
            <w:gridSpan w:val="2"/>
          </w:tcPr>
          <w:p>
            <w:pPr>
              <w:adjustRightInd w:val="0"/>
              <w:snapToGrid w:val="0"/>
              <w:spacing w:line="300" w:lineRule="auto"/>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5" w:type="dxa"/>
            <w:gridSpan w:val="2"/>
          </w:tcPr>
          <w:p>
            <w:pPr>
              <w:adjustRightInd w:val="0"/>
              <w:snapToGrid w:val="0"/>
              <w:spacing w:line="300" w:lineRule="auto"/>
              <w:rPr>
                <w:rFonts w:ascii="Calibri" w:hAnsi="Calibri" w:eastAsia="宋体"/>
                <w:sz w:val="24"/>
                <w:szCs w:val="24"/>
              </w:rPr>
            </w:pPr>
          </w:p>
        </w:tc>
        <w:tc>
          <w:tcPr>
            <w:tcW w:w="3807" w:type="dxa"/>
            <w:gridSpan w:val="5"/>
          </w:tcPr>
          <w:p>
            <w:pPr>
              <w:adjustRightInd w:val="0"/>
              <w:snapToGrid w:val="0"/>
              <w:spacing w:line="300" w:lineRule="auto"/>
              <w:rPr>
                <w:rFonts w:ascii="Calibri" w:hAnsi="Calibri" w:eastAsia="宋体"/>
                <w:sz w:val="24"/>
                <w:szCs w:val="24"/>
              </w:rPr>
            </w:pPr>
          </w:p>
        </w:tc>
        <w:tc>
          <w:tcPr>
            <w:tcW w:w="1444" w:type="dxa"/>
          </w:tcPr>
          <w:p>
            <w:pPr>
              <w:adjustRightInd w:val="0"/>
              <w:snapToGrid w:val="0"/>
              <w:spacing w:line="300" w:lineRule="auto"/>
              <w:rPr>
                <w:rFonts w:ascii="Calibri" w:hAnsi="Calibri" w:eastAsia="宋体"/>
                <w:sz w:val="24"/>
                <w:szCs w:val="24"/>
              </w:rPr>
            </w:pPr>
          </w:p>
        </w:tc>
        <w:tc>
          <w:tcPr>
            <w:tcW w:w="2186" w:type="dxa"/>
            <w:gridSpan w:val="2"/>
          </w:tcPr>
          <w:p>
            <w:pPr>
              <w:adjustRightInd w:val="0"/>
              <w:snapToGrid w:val="0"/>
              <w:spacing w:line="300" w:lineRule="auto"/>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5" w:type="dxa"/>
            <w:gridSpan w:val="2"/>
            <w:vAlign w:val="center"/>
          </w:tcPr>
          <w:p>
            <w:pPr>
              <w:adjustRightInd w:val="0"/>
              <w:snapToGrid w:val="0"/>
              <w:spacing w:line="300" w:lineRule="auto"/>
              <w:rPr>
                <w:rFonts w:ascii="Calibri" w:hAnsi="Calibri" w:eastAsia="宋体"/>
                <w:sz w:val="24"/>
                <w:szCs w:val="24"/>
              </w:rPr>
            </w:pPr>
          </w:p>
        </w:tc>
        <w:tc>
          <w:tcPr>
            <w:tcW w:w="3807" w:type="dxa"/>
            <w:gridSpan w:val="5"/>
            <w:vAlign w:val="center"/>
          </w:tcPr>
          <w:p>
            <w:pPr>
              <w:adjustRightInd w:val="0"/>
              <w:snapToGrid w:val="0"/>
              <w:spacing w:line="300" w:lineRule="auto"/>
              <w:rPr>
                <w:rFonts w:ascii="Calibri" w:hAnsi="Calibri" w:eastAsia="宋体"/>
                <w:sz w:val="24"/>
                <w:szCs w:val="24"/>
              </w:rPr>
            </w:pPr>
          </w:p>
        </w:tc>
        <w:tc>
          <w:tcPr>
            <w:tcW w:w="1444" w:type="dxa"/>
            <w:vAlign w:val="center"/>
          </w:tcPr>
          <w:p>
            <w:pPr>
              <w:adjustRightInd w:val="0"/>
              <w:snapToGrid w:val="0"/>
              <w:spacing w:line="300" w:lineRule="auto"/>
              <w:rPr>
                <w:rFonts w:ascii="Calibri" w:hAnsi="Calibri" w:eastAsia="宋体"/>
                <w:sz w:val="24"/>
                <w:szCs w:val="24"/>
              </w:rPr>
            </w:pPr>
          </w:p>
        </w:tc>
        <w:tc>
          <w:tcPr>
            <w:tcW w:w="2186" w:type="dxa"/>
            <w:gridSpan w:val="2"/>
            <w:vAlign w:val="center"/>
          </w:tcPr>
          <w:p>
            <w:pPr>
              <w:adjustRightInd w:val="0"/>
              <w:snapToGrid w:val="0"/>
              <w:spacing w:line="300" w:lineRule="auto"/>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5" w:type="dxa"/>
            <w:gridSpan w:val="2"/>
            <w:vAlign w:val="center"/>
          </w:tcPr>
          <w:p>
            <w:pPr>
              <w:adjustRightInd w:val="0"/>
              <w:snapToGrid w:val="0"/>
              <w:spacing w:line="300" w:lineRule="auto"/>
              <w:rPr>
                <w:rFonts w:ascii="Calibri" w:hAnsi="Calibri" w:eastAsia="宋体"/>
                <w:sz w:val="24"/>
                <w:szCs w:val="24"/>
              </w:rPr>
            </w:pPr>
          </w:p>
        </w:tc>
        <w:tc>
          <w:tcPr>
            <w:tcW w:w="3807" w:type="dxa"/>
            <w:gridSpan w:val="5"/>
            <w:vAlign w:val="center"/>
          </w:tcPr>
          <w:p>
            <w:pPr>
              <w:adjustRightInd w:val="0"/>
              <w:snapToGrid w:val="0"/>
              <w:spacing w:line="300" w:lineRule="auto"/>
              <w:rPr>
                <w:rFonts w:ascii="Calibri" w:hAnsi="Calibri" w:eastAsia="宋体"/>
                <w:sz w:val="24"/>
                <w:szCs w:val="24"/>
              </w:rPr>
            </w:pPr>
          </w:p>
        </w:tc>
        <w:tc>
          <w:tcPr>
            <w:tcW w:w="1444" w:type="dxa"/>
            <w:vAlign w:val="center"/>
          </w:tcPr>
          <w:p>
            <w:pPr>
              <w:adjustRightInd w:val="0"/>
              <w:snapToGrid w:val="0"/>
              <w:spacing w:line="300" w:lineRule="auto"/>
              <w:rPr>
                <w:rFonts w:ascii="Calibri" w:hAnsi="Calibri" w:eastAsia="宋体"/>
                <w:sz w:val="24"/>
                <w:szCs w:val="24"/>
              </w:rPr>
            </w:pPr>
          </w:p>
        </w:tc>
        <w:tc>
          <w:tcPr>
            <w:tcW w:w="2186" w:type="dxa"/>
            <w:gridSpan w:val="2"/>
            <w:vAlign w:val="center"/>
          </w:tcPr>
          <w:p>
            <w:pPr>
              <w:adjustRightInd w:val="0"/>
              <w:snapToGrid w:val="0"/>
              <w:spacing w:line="300" w:lineRule="auto"/>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8" w:type="dxa"/>
            <w:gridSpan w:val="3"/>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获奖情况：</w:t>
            </w:r>
          </w:p>
        </w:tc>
        <w:tc>
          <w:tcPr>
            <w:tcW w:w="6954" w:type="dxa"/>
            <w:gridSpan w:val="7"/>
            <w:vAlign w:val="center"/>
          </w:tcPr>
          <w:p>
            <w:pPr>
              <w:adjustRightInd w:val="0"/>
              <w:snapToGrid w:val="0"/>
              <w:spacing w:line="300" w:lineRule="auto"/>
              <w:rPr>
                <w:rFonts w:ascii="Calibri" w:hAnsi="Calibri"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jc w:val="center"/>
        </w:trPr>
        <w:tc>
          <w:tcPr>
            <w:tcW w:w="2118" w:type="dxa"/>
            <w:gridSpan w:val="3"/>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说明在岗情况</w:t>
            </w:r>
          </w:p>
        </w:tc>
        <w:tc>
          <w:tcPr>
            <w:tcW w:w="6954" w:type="dxa"/>
            <w:gridSpan w:val="7"/>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 xml:space="preserve">□目前未在其他项目上任职，现从事工作为：         </w:t>
            </w:r>
          </w:p>
          <w:p>
            <w:pPr>
              <w:adjustRightInd w:val="0"/>
              <w:snapToGrid w:val="0"/>
              <w:spacing w:line="300" w:lineRule="auto"/>
              <w:rPr>
                <w:rFonts w:ascii="Calibri" w:hAnsi="Calibri" w:eastAsia="宋体"/>
                <w:sz w:val="24"/>
                <w:szCs w:val="24"/>
              </w:rPr>
            </w:pPr>
            <w:r>
              <w:rPr>
                <w:rFonts w:hint="eastAsia" w:ascii="Calibri" w:hAnsi="Calibri" w:eastAsia="宋体"/>
                <w:sz w:val="24"/>
                <w:szCs w:val="24"/>
              </w:rPr>
              <w:t xml:space="preserve">□目前虽在其他项目上任职，但本项目中标后能够从该项目撤离，目前任职项目：            ，担任职务：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2118" w:type="dxa"/>
            <w:gridSpan w:val="3"/>
            <w:vAlign w:val="center"/>
          </w:tcPr>
          <w:p>
            <w:pPr>
              <w:adjustRightInd w:val="0"/>
              <w:snapToGrid w:val="0"/>
              <w:spacing w:line="300" w:lineRule="auto"/>
              <w:rPr>
                <w:rFonts w:ascii="Calibri" w:hAnsi="Calibri" w:eastAsia="宋体"/>
                <w:sz w:val="24"/>
                <w:szCs w:val="24"/>
              </w:rPr>
            </w:pPr>
            <w:r>
              <w:rPr>
                <w:rFonts w:hint="eastAsia" w:ascii="Calibri" w:hAnsi="Calibri" w:eastAsia="宋体"/>
                <w:sz w:val="24"/>
                <w:szCs w:val="24"/>
              </w:rPr>
              <w:t>备注</w:t>
            </w:r>
          </w:p>
        </w:tc>
        <w:tc>
          <w:tcPr>
            <w:tcW w:w="6954" w:type="dxa"/>
            <w:gridSpan w:val="7"/>
            <w:vAlign w:val="center"/>
          </w:tcPr>
          <w:p>
            <w:pPr>
              <w:adjustRightInd w:val="0"/>
              <w:snapToGrid w:val="0"/>
              <w:spacing w:line="300" w:lineRule="auto"/>
              <w:rPr>
                <w:rFonts w:ascii="Calibri" w:hAnsi="Calibri" w:eastAsia="宋体"/>
                <w:sz w:val="24"/>
                <w:szCs w:val="24"/>
              </w:rPr>
            </w:pPr>
          </w:p>
        </w:tc>
      </w:tr>
    </w:tbl>
    <w:p>
      <w:pPr>
        <w:snapToGrid w:val="0"/>
        <w:ind w:right="166" w:rightChars="52"/>
        <w:rPr>
          <w:rFonts w:eastAsia="楷体_GB2312"/>
          <w:b/>
          <w:color w:val="000000"/>
          <w:sz w:val="24"/>
        </w:rPr>
      </w:pPr>
    </w:p>
    <w:p>
      <w:pPr>
        <w:snapToGrid w:val="0"/>
        <w:ind w:right="166" w:rightChars="52"/>
        <w:rPr>
          <w:rFonts w:eastAsia="楷体_GB2312"/>
          <w:b/>
          <w:color w:val="000000"/>
          <w:sz w:val="24"/>
        </w:rPr>
      </w:pPr>
      <w:r>
        <w:rPr>
          <w:rFonts w:eastAsia="楷体_GB2312"/>
          <w:b/>
          <w:color w:val="000000"/>
          <w:sz w:val="24"/>
        </w:rPr>
        <w:t>注：拟委任的项目经理应附的证明材料</w:t>
      </w:r>
      <w:r>
        <w:rPr>
          <w:rFonts w:hint="eastAsia" w:eastAsia="楷体_GB2312"/>
          <w:b/>
          <w:color w:val="000000"/>
          <w:sz w:val="24"/>
        </w:rPr>
        <w:t>（否则该业绩无效）</w:t>
      </w:r>
      <w:r>
        <w:rPr>
          <w:rFonts w:eastAsia="楷体_GB2312"/>
          <w:b/>
          <w:color w:val="000000"/>
          <w:sz w:val="24"/>
        </w:rPr>
        <w:t>：</w:t>
      </w:r>
    </w:p>
    <w:p>
      <w:pPr>
        <w:snapToGrid w:val="0"/>
        <w:ind w:right="166" w:rightChars="52"/>
        <w:rPr>
          <w:rFonts w:eastAsia="楷体_GB2312"/>
          <w:b/>
          <w:color w:val="000000"/>
          <w:sz w:val="24"/>
        </w:rPr>
      </w:pPr>
      <w:r>
        <w:rPr>
          <w:rFonts w:hint="eastAsia" w:eastAsia="楷体_GB2312"/>
          <w:b/>
          <w:color w:val="000000"/>
          <w:sz w:val="24"/>
        </w:rPr>
        <w:t>1.身份证的复印件。</w:t>
      </w:r>
    </w:p>
    <w:p>
      <w:pPr>
        <w:snapToGrid w:val="0"/>
        <w:ind w:right="166" w:rightChars="52"/>
        <w:rPr>
          <w:rFonts w:eastAsia="楷体_GB2312"/>
          <w:b/>
          <w:color w:val="000000"/>
          <w:sz w:val="24"/>
        </w:rPr>
      </w:pPr>
      <w:r>
        <w:rPr>
          <w:rFonts w:hint="eastAsia" w:eastAsia="楷体_GB2312"/>
          <w:b/>
          <w:color w:val="000000"/>
          <w:sz w:val="24"/>
        </w:rPr>
        <w:t>2.生物防制员高级证书的复印件。</w:t>
      </w:r>
    </w:p>
    <w:p>
      <w:pPr>
        <w:snapToGrid w:val="0"/>
        <w:ind w:right="166" w:rightChars="52"/>
        <w:rPr>
          <w:rFonts w:eastAsia="楷体_GB2312"/>
          <w:b/>
          <w:color w:val="000000"/>
          <w:sz w:val="24"/>
        </w:rPr>
      </w:pPr>
      <w:r>
        <w:rPr>
          <w:rFonts w:eastAsia="楷体_GB2312"/>
          <w:b/>
          <w:bCs/>
          <w:color w:val="000000"/>
          <w:sz w:val="24"/>
        </w:rPr>
        <w:t>3.</w:t>
      </w:r>
      <w:r>
        <w:rPr>
          <w:rFonts w:eastAsia="楷体_GB2312"/>
          <w:b/>
          <w:color w:val="000000"/>
          <w:sz w:val="24"/>
        </w:rPr>
        <w:t>竞标人所属社保机构出具的拟委任的项目经理社保缴费证明</w:t>
      </w:r>
      <w:r>
        <w:rPr>
          <w:rFonts w:hint="eastAsia" w:eastAsia="楷体_GB2312"/>
          <w:b/>
          <w:color w:val="000000"/>
          <w:sz w:val="24"/>
        </w:rPr>
        <w:t>复印件</w:t>
      </w:r>
      <w:r>
        <w:rPr>
          <w:rFonts w:eastAsia="楷体_GB2312"/>
          <w:b/>
          <w:color w:val="000000"/>
          <w:sz w:val="24"/>
        </w:rPr>
        <w:t>（缴费截止时间应在投标截止时间前3个月以内，连续缴费期不低于6个月）</w:t>
      </w:r>
      <w:r>
        <w:rPr>
          <w:rFonts w:hint="eastAsia" w:eastAsia="楷体_GB2312"/>
          <w:b/>
          <w:color w:val="000000"/>
          <w:sz w:val="24"/>
        </w:rPr>
        <w:t>，</w:t>
      </w:r>
      <w:r>
        <w:rPr>
          <w:rFonts w:eastAsia="楷体_GB2312"/>
          <w:b/>
          <w:color w:val="000000"/>
          <w:sz w:val="24"/>
        </w:rPr>
        <w:t>并加盖缴费单位证明专用章</w:t>
      </w:r>
      <w:r>
        <w:rPr>
          <w:rFonts w:hint="eastAsia" w:eastAsia="楷体_GB2312"/>
          <w:b/>
          <w:color w:val="000000"/>
          <w:sz w:val="24"/>
        </w:rPr>
        <w:t>。</w:t>
      </w:r>
    </w:p>
    <w:p>
      <w:pPr>
        <w:snapToGrid w:val="0"/>
        <w:ind w:right="166" w:rightChars="52"/>
        <w:rPr>
          <w:rFonts w:eastAsia="楷体_GB2312"/>
          <w:b/>
          <w:color w:val="000000"/>
          <w:sz w:val="24"/>
        </w:rPr>
      </w:pPr>
      <w:r>
        <w:rPr>
          <w:rFonts w:hint="eastAsia" w:eastAsia="楷体_GB2312"/>
          <w:b/>
          <w:color w:val="000000"/>
          <w:sz w:val="24"/>
        </w:rPr>
        <w:t>4.合同协议书</w:t>
      </w:r>
      <w:r>
        <w:rPr>
          <w:rFonts w:eastAsia="楷体_GB2312"/>
          <w:b/>
          <w:color w:val="000000"/>
          <w:sz w:val="24"/>
        </w:rPr>
        <w:t>复印件</w:t>
      </w:r>
      <w:r>
        <w:rPr>
          <w:rFonts w:hint="eastAsia" w:eastAsia="楷体_GB2312"/>
          <w:b/>
          <w:color w:val="000000"/>
          <w:sz w:val="24"/>
        </w:rPr>
        <w:t>。</w:t>
      </w:r>
    </w:p>
    <w:p>
      <w:pPr>
        <w:snapToGrid w:val="0"/>
        <w:ind w:right="166" w:rightChars="52"/>
        <w:rPr>
          <w:rFonts w:eastAsia="楷体_GB2312"/>
          <w:b/>
          <w:color w:val="000000"/>
          <w:sz w:val="24"/>
        </w:rPr>
      </w:pPr>
      <w:r>
        <w:rPr>
          <w:rFonts w:hint="eastAsia" w:eastAsia="楷体_GB2312"/>
          <w:b/>
          <w:color w:val="000000"/>
          <w:sz w:val="24"/>
        </w:rPr>
        <w:t>5.若合同协议书不能反映项目负责人及工作内容的，须提供业主证明等其他证明材料，否则该业绩无效。</w:t>
      </w:r>
    </w:p>
    <w:p>
      <w:pPr>
        <w:snapToGrid w:val="0"/>
        <w:ind w:right="166" w:rightChars="52"/>
        <w:rPr>
          <w:rFonts w:eastAsia="楷体_GB2312"/>
          <w:b/>
          <w:color w:val="000000"/>
          <w:sz w:val="24"/>
        </w:rPr>
      </w:pPr>
    </w:p>
    <w:p>
      <w:pPr>
        <w:spacing w:line="360" w:lineRule="auto"/>
        <w:ind w:firstLine="420" w:firstLineChars="200"/>
        <w:rPr>
          <w:rFonts w:ascii="宋体" w:hAnsi="宋体" w:eastAsia="宋体" w:cs="宋体"/>
          <w:sz w:val="21"/>
          <w:szCs w:val="21"/>
        </w:rPr>
      </w:pPr>
    </w:p>
    <w:p>
      <w:pPr>
        <w:keepNext/>
        <w:keepLines/>
        <w:spacing w:line="360" w:lineRule="exact"/>
        <w:jc w:val="center"/>
        <w:outlineLvl w:val="1"/>
        <w:rPr>
          <w:rFonts w:ascii="Arial" w:hAnsi="Arial" w:eastAsia="黑体"/>
          <w:bCs/>
        </w:rPr>
      </w:pPr>
    </w:p>
    <w:p>
      <w:pPr>
        <w:keepNext/>
        <w:keepLines/>
        <w:spacing w:line="360" w:lineRule="exact"/>
        <w:jc w:val="center"/>
        <w:outlineLvl w:val="1"/>
        <w:rPr>
          <w:rFonts w:ascii="Arial" w:hAnsi="Arial" w:eastAsia="黑体"/>
          <w:bCs/>
        </w:rPr>
      </w:pPr>
    </w:p>
    <w:p>
      <w:pPr>
        <w:keepNext/>
        <w:keepLines/>
        <w:spacing w:line="360" w:lineRule="exact"/>
        <w:jc w:val="center"/>
        <w:outlineLvl w:val="1"/>
        <w:rPr>
          <w:rFonts w:ascii="Arial" w:hAnsi="Arial" w:eastAsia="黑体"/>
          <w:bCs/>
        </w:rPr>
      </w:pPr>
      <w:r>
        <w:rPr>
          <w:rFonts w:hint="eastAsia" w:ascii="Arial" w:hAnsi="Arial" w:eastAsia="黑体"/>
          <w:bCs/>
        </w:rPr>
        <w:t>六、</w:t>
      </w:r>
      <w:bookmarkStart w:id="41" w:name="_Toc19595"/>
      <w:bookmarkStart w:id="42" w:name="_Toc29685"/>
      <w:r>
        <w:rPr>
          <w:rFonts w:hint="eastAsia" w:ascii="Arial" w:hAnsi="Arial" w:eastAsia="黑体"/>
          <w:bCs/>
        </w:rPr>
        <w:t>其它资料</w:t>
      </w:r>
      <w:bookmarkEnd w:id="41"/>
      <w:bookmarkEnd w:id="42"/>
    </w:p>
    <w:p>
      <w:pPr>
        <w:adjustRightInd w:val="0"/>
        <w:snapToGrid w:val="0"/>
        <w:spacing w:line="300" w:lineRule="auto"/>
        <w:jc w:val="left"/>
        <w:rPr>
          <w:rFonts w:ascii="宋体" w:hAnsi="宋体" w:eastAsia="宋体" w:cs="宋体"/>
          <w:sz w:val="22"/>
          <w:szCs w:val="22"/>
        </w:rPr>
      </w:pPr>
    </w:p>
    <w:p>
      <w:pPr>
        <w:adjustRightInd w:val="0"/>
        <w:snapToGrid w:val="0"/>
        <w:spacing w:line="300" w:lineRule="auto"/>
        <w:ind w:firstLine="600" w:firstLineChars="200"/>
        <w:jc w:val="left"/>
        <w:rPr>
          <w:rFonts w:ascii="仿宋" w:hAnsi="仿宋" w:eastAsia="仿宋" w:cs="宋体"/>
          <w:sz w:val="30"/>
          <w:szCs w:val="30"/>
        </w:rPr>
      </w:pPr>
      <w:bookmarkStart w:id="43" w:name="_Toc32090"/>
      <w:r>
        <w:rPr>
          <w:rFonts w:hint="eastAsia" w:ascii="仿宋" w:hAnsi="仿宋" w:eastAsia="仿宋" w:cs="宋体"/>
          <w:sz w:val="30"/>
          <w:szCs w:val="30"/>
        </w:rPr>
        <w:t>竞标人认为需提供的其它资料</w:t>
      </w:r>
      <w:bookmarkEnd w:id="43"/>
      <w:r>
        <w:rPr>
          <w:rFonts w:hint="eastAsia" w:ascii="仿宋" w:hAnsi="仿宋" w:eastAsia="仿宋" w:cs="宋体"/>
          <w:sz w:val="30"/>
          <w:szCs w:val="30"/>
        </w:rPr>
        <w:t>（如检测报告等、</w:t>
      </w:r>
      <w:r>
        <w:rPr>
          <w:rFonts w:hint="eastAsia" w:ascii="仿宋" w:hAnsi="仿宋" w:eastAsia="仿宋" w:cs="宋体"/>
          <w:kern w:val="0"/>
          <w:sz w:val="30"/>
          <w:szCs w:val="30"/>
        </w:rPr>
        <w:t>配套跟踪服务措施保障有力、灭四害方案药剂和辅材的使用情况、消杀次数</w:t>
      </w:r>
      <w:r>
        <w:rPr>
          <w:rFonts w:hint="eastAsia" w:ascii="仿宋" w:hAnsi="仿宋" w:eastAsia="仿宋" w:cs="宋体"/>
          <w:sz w:val="30"/>
          <w:szCs w:val="30"/>
        </w:rPr>
        <w:t>）。</w:t>
      </w:r>
    </w:p>
    <w:p>
      <w:pPr>
        <w:spacing w:line="360" w:lineRule="auto"/>
        <w:ind w:firstLine="420" w:firstLineChars="200"/>
        <w:rPr>
          <w:rFonts w:ascii="宋体" w:hAnsi="宋体" w:eastAsia="宋体" w:cs="宋体"/>
          <w:sz w:val="21"/>
          <w:szCs w:val="21"/>
        </w:rPr>
      </w:pPr>
    </w:p>
    <w:p>
      <w:pPr>
        <w:spacing w:line="360" w:lineRule="auto"/>
        <w:ind w:firstLine="420" w:firstLineChars="200"/>
        <w:rPr>
          <w:rFonts w:ascii="宋体" w:hAnsi="宋体" w:eastAsia="宋体" w:cs="宋体"/>
          <w:sz w:val="21"/>
          <w:szCs w:val="21"/>
        </w:rPr>
      </w:pPr>
    </w:p>
    <w:p>
      <w:pPr>
        <w:spacing w:line="360" w:lineRule="auto"/>
        <w:ind w:firstLine="420" w:firstLineChars="200"/>
        <w:rPr>
          <w:rFonts w:ascii="宋体" w:hAnsi="宋体" w:eastAsia="宋体" w:cs="宋体"/>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Sim Hei">
    <w:altName w:val="宋体"/>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LVYNTXpAQAA&#10;tgMAAA4AAAAAAAAAAQAgAAAAHgEAAGRycy9lMm9Eb2MueG1sUEsFBgAAAAAGAAYAWQEAAHkFAAAA&#10;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30"/>
      </w:rPr>
    </w:pPr>
    <w:r>
      <w:fldChar w:fldCharType="begin"/>
    </w:r>
    <w:r>
      <w:rPr>
        <w:rStyle w:val="30"/>
      </w:rPr>
      <w:instrText xml:space="preserve">PAGE  </w:instrText>
    </w:r>
    <w:r>
      <w:fldChar w:fldCharType="separate"/>
    </w:r>
    <w:r>
      <w:rPr>
        <w:rStyle w:val="30"/>
        <w:lang w:val="zh-CN"/>
      </w:rPr>
      <w:t>45</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8scAtEA&#10;AAACAQAADwAAAAAAAAABACAAAAAiAAAAZHJzL2Rvd25yZXYueG1sUEsBAhQAFAAAAAgAh07iQAaS&#10;2zrtAQAAswMAAA4AAAAAAAAAAQAgAAAAIAEAAGRycy9lMm9Eb2MueG1sUEsFBgAAAAAGAAYAWQEA&#10;AH8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131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yxwC&#10;0QAAAAIBAAAPAAAAAAAAAAEAIAAAACIAAABkcnMvZG93bnJldi54bWxQSwECFAAUAAAACACHTuJA&#10;L4b2O+8BAACzAwAADgAAAAAAAAABACAAAAAgAQAAZHJzL2Uyb0RvYy54bWxQSwUGAAAAAAYABgBZ&#10;AQAAgQ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233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JYReHDwAQAAtAMAAA4AAAAAAAAAAQAgAAAAIAEAAGRycy9lMm9Eb2MueG1sUEsFBgAAAAAGAAYA&#10;WQEAAII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336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pb8P&#10;0QAAAAMBAAAPAAAAAAAAAAEAIAAAACIAAABkcnMvZG93bnJldi54bWxQSwECFAAUAAAACACHTuJA&#10;7qTLMu8BAAC0AwAADgAAAAAAAAABACAAAAAgAQAAZHJzL2Uyb0RvYy54bWxQSwUGAAAAAAYABgBZ&#10;AQAAgQ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438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6W/D9EA&#10;AAADAQAADwAAAAAAAAABACAAAAAiAAAAZHJzL2Rvd25yZXYueG1sUEsBAhQAFAAAAAgAh07iQGZ7&#10;H/XtAQAAtAMAAA4AAAAAAAAAAQAgAAAAIAEAAGRycy9lMm9Eb2MueG1sUEsFBgAAAAAGAAYAWQEA&#10;AH8FA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安徽省驿达高速公路服务区经营管理有限公司2017年度商务车和轿车采购                                         招标文件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7"/>
      </w:pBdr>
      <w:jc w:val="both"/>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1272B"/>
    <w:multiLevelType w:val="singleLevel"/>
    <w:tmpl w:val="5A01272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7C"/>
    <w:rsid w:val="00017F41"/>
    <w:rsid w:val="00070FCC"/>
    <w:rsid w:val="001855F2"/>
    <w:rsid w:val="001A7BE0"/>
    <w:rsid w:val="00206BC7"/>
    <w:rsid w:val="003C71AA"/>
    <w:rsid w:val="00412501"/>
    <w:rsid w:val="004F1748"/>
    <w:rsid w:val="00531FD9"/>
    <w:rsid w:val="00572CF7"/>
    <w:rsid w:val="005A05DB"/>
    <w:rsid w:val="005A627C"/>
    <w:rsid w:val="005F41F7"/>
    <w:rsid w:val="00640795"/>
    <w:rsid w:val="00695F74"/>
    <w:rsid w:val="006B4325"/>
    <w:rsid w:val="006C7E57"/>
    <w:rsid w:val="00707F9C"/>
    <w:rsid w:val="0074520A"/>
    <w:rsid w:val="00930EAB"/>
    <w:rsid w:val="009C4D43"/>
    <w:rsid w:val="00C34D2E"/>
    <w:rsid w:val="00C811AA"/>
    <w:rsid w:val="00CD0FB0"/>
    <w:rsid w:val="00CE2D08"/>
    <w:rsid w:val="00CE52A1"/>
    <w:rsid w:val="00D351E3"/>
    <w:rsid w:val="00DD3942"/>
    <w:rsid w:val="00E8031D"/>
    <w:rsid w:val="00F0030D"/>
    <w:rsid w:val="00FC64B9"/>
    <w:rsid w:val="1209582C"/>
    <w:rsid w:val="141A7DD0"/>
    <w:rsid w:val="546846EB"/>
    <w:rsid w:val="61A84D5C"/>
    <w:rsid w:val="66A47ED5"/>
    <w:rsid w:val="69B375B6"/>
    <w:rsid w:val="75E14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nhideWhenUsed="0" w:uiPriority="0" w:semiHidden="0" w:name="Body Text First Indent"/>
    <w:lsdException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link w:val="34"/>
    <w:qFormat/>
    <w:uiPriority w:val="0"/>
    <w:pPr>
      <w:keepNext/>
      <w:outlineLvl w:val="0"/>
    </w:pPr>
    <w:rPr>
      <w:sz w:val="28"/>
      <w:szCs w:val="2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rPr>
  </w:style>
  <w:style w:type="paragraph" w:styleId="4">
    <w:name w:val="heading 3"/>
    <w:basedOn w:val="1"/>
    <w:next w:val="1"/>
    <w:link w:val="36"/>
    <w:qFormat/>
    <w:uiPriority w:val="0"/>
    <w:pPr>
      <w:keepNext/>
      <w:keepLines/>
      <w:spacing w:before="260" w:after="260" w:line="416" w:lineRule="auto"/>
      <w:outlineLvl w:val="2"/>
    </w:pPr>
    <w:rPr>
      <w:b/>
      <w:bCs/>
    </w:rPr>
  </w:style>
  <w:style w:type="paragraph" w:styleId="5">
    <w:name w:val="heading 4"/>
    <w:basedOn w:val="1"/>
    <w:next w:val="1"/>
    <w:link w:val="37"/>
    <w:qFormat/>
    <w:uiPriority w:val="0"/>
    <w:pPr>
      <w:keepNext/>
      <w:keepLines/>
      <w:spacing w:before="280" w:after="290" w:line="376" w:lineRule="auto"/>
      <w:outlineLvl w:val="3"/>
    </w:pPr>
    <w:rPr>
      <w:rFonts w:ascii="Cambria" w:hAnsi="Cambria" w:eastAsia="宋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link w:val="42"/>
    <w:qFormat/>
    <w:uiPriority w:val="0"/>
    <w:rPr>
      <w:rFonts w:ascii="宋体" w:hAnsiTheme="minorHAnsi" w:eastAsiaTheme="minorEastAsia" w:cstheme="minorBidi"/>
      <w:sz w:val="16"/>
      <w:szCs w:val="16"/>
    </w:rPr>
  </w:style>
  <w:style w:type="paragraph" w:styleId="8">
    <w:name w:val="annotation text"/>
    <w:basedOn w:val="1"/>
    <w:link w:val="57"/>
    <w:qFormat/>
    <w:uiPriority w:val="0"/>
    <w:pPr>
      <w:jc w:val="left"/>
    </w:pPr>
  </w:style>
  <w:style w:type="paragraph" w:styleId="9">
    <w:name w:val="Body Text 3"/>
    <w:basedOn w:val="1"/>
    <w:link w:val="40"/>
    <w:qFormat/>
    <w:uiPriority w:val="0"/>
    <w:pPr>
      <w:spacing w:after="120"/>
    </w:pPr>
    <w:rPr>
      <w:rFonts w:hAnsiTheme="minorHAnsi" w:cstheme="minorBidi"/>
      <w:sz w:val="16"/>
      <w:szCs w:val="16"/>
    </w:rPr>
  </w:style>
  <w:style w:type="paragraph" w:styleId="10">
    <w:name w:val="Body Text"/>
    <w:basedOn w:val="1"/>
    <w:link w:val="54"/>
    <w:qFormat/>
    <w:uiPriority w:val="0"/>
    <w:pPr>
      <w:spacing w:after="120"/>
    </w:pPr>
  </w:style>
  <w:style w:type="paragraph" w:styleId="11">
    <w:name w:val="Body Text Indent"/>
    <w:basedOn w:val="1"/>
    <w:link w:val="61"/>
    <w:qFormat/>
    <w:uiPriority w:val="0"/>
    <w:pPr>
      <w:ind w:firstLine="540"/>
    </w:pPr>
    <w:rPr>
      <w:sz w:val="28"/>
    </w:rPr>
  </w:style>
  <w:style w:type="paragraph" w:styleId="12">
    <w:name w:val="Plain Text"/>
    <w:basedOn w:val="1"/>
    <w:link w:val="43"/>
    <w:qFormat/>
    <w:uiPriority w:val="0"/>
    <w:rPr>
      <w:rFonts w:ascii="宋体" w:hAnsi="Courier New" w:eastAsia="宋体"/>
      <w:sz w:val="21"/>
      <w:szCs w:val="20"/>
    </w:rPr>
  </w:style>
  <w:style w:type="paragraph" w:styleId="13">
    <w:name w:val="Date"/>
    <w:basedOn w:val="1"/>
    <w:next w:val="1"/>
    <w:link w:val="47"/>
    <w:qFormat/>
    <w:uiPriority w:val="0"/>
    <w:rPr>
      <w:rFonts w:ascii="Arial" w:hAnsi="Arial" w:eastAsia="楷体_GB2312"/>
      <w:sz w:val="28"/>
    </w:rPr>
  </w:style>
  <w:style w:type="paragraph" w:styleId="14">
    <w:name w:val="Body Text Indent 2"/>
    <w:basedOn w:val="1"/>
    <w:link w:val="41"/>
    <w:qFormat/>
    <w:uiPriority w:val="0"/>
    <w:pPr>
      <w:spacing w:after="120" w:line="480" w:lineRule="auto"/>
      <w:ind w:left="420" w:leftChars="200"/>
    </w:pPr>
    <w:rPr>
      <w:rFonts w:asciiTheme="minorHAnsi" w:hAnsiTheme="minorHAnsi" w:eastAsiaTheme="minorEastAsia" w:cstheme="minorBidi"/>
      <w:sz w:val="21"/>
      <w:szCs w:val="24"/>
    </w:rPr>
  </w:style>
  <w:style w:type="paragraph" w:styleId="15">
    <w:name w:val="Balloon Text"/>
    <w:basedOn w:val="1"/>
    <w:link w:val="38"/>
    <w:qFormat/>
    <w:uiPriority w:val="0"/>
    <w:rPr>
      <w:rFonts w:hAnsiTheme="minorHAnsi" w:cstheme="minorBidi"/>
      <w:sz w:val="18"/>
      <w:szCs w:val="18"/>
    </w:rPr>
  </w:style>
  <w:style w:type="paragraph" w:styleId="16">
    <w:name w:val="footer"/>
    <w:basedOn w:val="1"/>
    <w:link w:val="33"/>
    <w:unhideWhenUsed/>
    <w:qFormat/>
    <w:uiPriority w:val="0"/>
    <w:pPr>
      <w:tabs>
        <w:tab w:val="center" w:pos="4153"/>
        <w:tab w:val="right" w:pos="8306"/>
      </w:tabs>
      <w:snapToGrid w:val="0"/>
      <w:jc w:val="left"/>
    </w:pPr>
    <w:rPr>
      <w:sz w:val="18"/>
      <w:szCs w:val="18"/>
    </w:rPr>
  </w:style>
  <w:style w:type="paragraph" w:styleId="17">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uiPriority w:val="0"/>
    <w:pPr>
      <w:ind w:left="420" w:hanging="420"/>
    </w:pPr>
    <w:rPr>
      <w:szCs w:val="20"/>
    </w:rPr>
  </w:style>
  <w:style w:type="paragraph" w:styleId="20">
    <w:name w:val="toc 2"/>
    <w:basedOn w:val="1"/>
    <w:next w:val="1"/>
    <w:uiPriority w:val="0"/>
    <w:pPr>
      <w:ind w:left="420" w:leftChars="200"/>
    </w:pPr>
  </w:style>
  <w:style w:type="paragraph" w:styleId="21">
    <w:name w:val="Normal (Web)"/>
    <w:basedOn w:val="1"/>
    <w:link w:val="53"/>
    <w:qFormat/>
    <w:uiPriority w:val="0"/>
    <w:rPr>
      <w:rFonts w:ascii="Times New Roman" w:eastAsia="宋体"/>
      <w:sz w:val="24"/>
      <w:szCs w:val="24"/>
    </w:rPr>
  </w:style>
  <w:style w:type="paragraph" w:styleId="22">
    <w:name w:val="index 1"/>
    <w:basedOn w:val="1"/>
    <w:next w:val="1"/>
    <w:uiPriority w:val="0"/>
    <w:pPr>
      <w:spacing w:line="220" w:lineRule="exact"/>
      <w:jc w:val="center"/>
    </w:pPr>
    <w:rPr>
      <w:szCs w:val="21"/>
    </w:rPr>
  </w:style>
  <w:style w:type="paragraph" w:styleId="23">
    <w:name w:val="annotation subject"/>
    <w:basedOn w:val="8"/>
    <w:next w:val="8"/>
    <w:link w:val="56"/>
    <w:unhideWhenUsed/>
    <w:uiPriority w:val="0"/>
    <w:rPr>
      <w:rFonts w:asciiTheme="minorHAnsi" w:hAnsiTheme="minorHAnsi" w:eastAsiaTheme="minorEastAsia" w:cstheme="minorBidi"/>
      <w:b/>
      <w:bCs/>
      <w:sz w:val="21"/>
      <w:szCs w:val="24"/>
    </w:rPr>
  </w:style>
  <w:style w:type="paragraph" w:styleId="24">
    <w:name w:val="Body Text First Indent"/>
    <w:basedOn w:val="10"/>
    <w:link w:val="55"/>
    <w:uiPriority w:val="0"/>
    <w:pPr>
      <w:ind w:firstLine="420" w:firstLineChars="100"/>
    </w:pPr>
    <w:rPr>
      <w:rFonts w:ascii="Times New Roman" w:eastAsia="宋体"/>
      <w:sz w:val="21"/>
      <w:szCs w:val="24"/>
    </w:rPr>
  </w:style>
  <w:style w:type="paragraph" w:styleId="25">
    <w:name w:val="Body Text First Indent 2"/>
    <w:basedOn w:val="11"/>
    <w:link w:val="60"/>
    <w:unhideWhenUsed/>
    <w:uiPriority w:val="0"/>
    <w:pPr>
      <w:spacing w:after="120"/>
      <w:ind w:left="420" w:leftChars="200" w:firstLine="420" w:firstLineChars="200"/>
    </w:pPr>
    <w:rPr>
      <w:sz w:val="32"/>
    </w:rPr>
  </w:style>
  <w:style w:type="table" w:styleId="27">
    <w:name w:val="Table Grid"/>
    <w:basedOn w:val="26"/>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Strong"/>
    <w:qFormat/>
    <w:uiPriority w:val="0"/>
    <w:rPr>
      <w:b/>
    </w:rPr>
  </w:style>
  <w:style w:type="character" w:styleId="30">
    <w:name w:val="page number"/>
    <w:basedOn w:val="28"/>
    <w:qFormat/>
    <w:uiPriority w:val="0"/>
  </w:style>
  <w:style w:type="character" w:styleId="31">
    <w:name w:val="Hyperlink"/>
    <w:qFormat/>
    <w:uiPriority w:val="99"/>
    <w:rPr>
      <w:color w:val="0000FF"/>
      <w:u w:val="single"/>
    </w:rPr>
  </w:style>
  <w:style w:type="character" w:customStyle="1" w:styleId="32">
    <w:name w:val="页眉 Char"/>
    <w:basedOn w:val="28"/>
    <w:link w:val="17"/>
    <w:qFormat/>
    <w:uiPriority w:val="0"/>
    <w:rPr>
      <w:sz w:val="18"/>
      <w:szCs w:val="18"/>
    </w:rPr>
  </w:style>
  <w:style w:type="character" w:customStyle="1" w:styleId="33">
    <w:name w:val="页脚 Char"/>
    <w:basedOn w:val="28"/>
    <w:link w:val="16"/>
    <w:qFormat/>
    <w:uiPriority w:val="0"/>
    <w:rPr>
      <w:sz w:val="18"/>
      <w:szCs w:val="18"/>
    </w:rPr>
  </w:style>
  <w:style w:type="character" w:customStyle="1" w:styleId="34">
    <w:name w:val="标题 1 Char"/>
    <w:basedOn w:val="28"/>
    <w:link w:val="2"/>
    <w:qFormat/>
    <w:uiPriority w:val="0"/>
    <w:rPr>
      <w:rFonts w:ascii="仿宋_GB2312" w:hAnsi="Times New Roman" w:eastAsia="仿宋_GB2312" w:cs="Times New Roman"/>
      <w:sz w:val="28"/>
      <w:szCs w:val="24"/>
    </w:rPr>
  </w:style>
  <w:style w:type="character" w:customStyle="1" w:styleId="35">
    <w:name w:val="标题 2 Char"/>
    <w:basedOn w:val="28"/>
    <w:link w:val="3"/>
    <w:qFormat/>
    <w:uiPriority w:val="0"/>
    <w:rPr>
      <w:rFonts w:ascii="Arial" w:hAnsi="Arial" w:eastAsia="黑体" w:cs="Times New Roman"/>
      <w:b/>
      <w:bCs/>
      <w:sz w:val="32"/>
      <w:szCs w:val="32"/>
    </w:rPr>
  </w:style>
  <w:style w:type="character" w:customStyle="1" w:styleId="36">
    <w:name w:val="标题 3 Char"/>
    <w:basedOn w:val="28"/>
    <w:link w:val="4"/>
    <w:qFormat/>
    <w:uiPriority w:val="0"/>
    <w:rPr>
      <w:rFonts w:ascii="仿宋_GB2312" w:hAnsi="Times New Roman" w:eastAsia="仿宋_GB2312" w:cs="Times New Roman"/>
      <w:b/>
      <w:bCs/>
      <w:sz w:val="32"/>
      <w:szCs w:val="32"/>
    </w:rPr>
  </w:style>
  <w:style w:type="character" w:customStyle="1" w:styleId="37">
    <w:name w:val="标题 4 Char"/>
    <w:basedOn w:val="28"/>
    <w:link w:val="5"/>
    <w:qFormat/>
    <w:uiPriority w:val="0"/>
    <w:rPr>
      <w:rFonts w:ascii="Cambria" w:hAnsi="Cambria" w:eastAsia="宋体" w:cs="Times New Roman"/>
      <w:b/>
      <w:bCs/>
      <w:sz w:val="28"/>
      <w:szCs w:val="28"/>
    </w:rPr>
  </w:style>
  <w:style w:type="character" w:customStyle="1" w:styleId="38">
    <w:name w:val="批注框文本 Char"/>
    <w:link w:val="15"/>
    <w:qFormat/>
    <w:uiPriority w:val="0"/>
    <w:rPr>
      <w:rFonts w:ascii="仿宋_GB2312" w:eastAsia="仿宋_GB2312"/>
      <w:sz w:val="18"/>
      <w:szCs w:val="18"/>
    </w:rPr>
  </w:style>
  <w:style w:type="character" w:customStyle="1" w:styleId="39">
    <w:name w:val="bai12xi1"/>
    <w:qFormat/>
    <w:uiPriority w:val="0"/>
    <w:rPr>
      <w:color w:val="FFFFFF"/>
      <w:sz w:val="18"/>
      <w:szCs w:val="18"/>
    </w:rPr>
  </w:style>
  <w:style w:type="character" w:customStyle="1" w:styleId="40">
    <w:name w:val="正文文本 3 Char"/>
    <w:link w:val="9"/>
    <w:qFormat/>
    <w:uiPriority w:val="0"/>
    <w:rPr>
      <w:rFonts w:ascii="仿宋_GB2312" w:eastAsia="仿宋_GB2312"/>
      <w:sz w:val="16"/>
      <w:szCs w:val="16"/>
    </w:rPr>
  </w:style>
  <w:style w:type="character" w:customStyle="1" w:styleId="41">
    <w:name w:val="正文文本缩进 2 Char"/>
    <w:link w:val="14"/>
    <w:qFormat/>
    <w:uiPriority w:val="0"/>
    <w:rPr>
      <w:szCs w:val="24"/>
    </w:rPr>
  </w:style>
  <w:style w:type="character" w:customStyle="1" w:styleId="42">
    <w:name w:val="文档结构图 Char"/>
    <w:link w:val="7"/>
    <w:qFormat/>
    <w:uiPriority w:val="0"/>
    <w:rPr>
      <w:rFonts w:ascii="宋体"/>
      <w:sz w:val="16"/>
      <w:szCs w:val="16"/>
    </w:rPr>
  </w:style>
  <w:style w:type="character" w:customStyle="1" w:styleId="43">
    <w:name w:val="纯文本 Char"/>
    <w:basedOn w:val="28"/>
    <w:link w:val="12"/>
    <w:qFormat/>
    <w:uiPriority w:val="0"/>
    <w:rPr>
      <w:rFonts w:ascii="宋体" w:hAnsi="Courier New" w:eastAsia="宋体" w:cs="Times New Roman"/>
      <w:szCs w:val="20"/>
    </w:rPr>
  </w:style>
  <w:style w:type="character" w:customStyle="1" w:styleId="44">
    <w:name w:val="正文文本缩进 Char"/>
    <w:basedOn w:val="28"/>
    <w:semiHidden/>
    <w:uiPriority w:val="99"/>
    <w:rPr>
      <w:rFonts w:ascii="仿宋_GB2312" w:hAnsi="Times New Roman" w:eastAsia="仿宋_GB2312" w:cs="Times New Roman"/>
      <w:sz w:val="32"/>
      <w:szCs w:val="32"/>
    </w:rPr>
  </w:style>
  <w:style w:type="character" w:customStyle="1" w:styleId="45">
    <w:name w:val="正文文本 3 Char1"/>
    <w:basedOn w:val="28"/>
    <w:semiHidden/>
    <w:qFormat/>
    <w:uiPriority w:val="99"/>
    <w:rPr>
      <w:rFonts w:ascii="仿宋_GB2312" w:hAnsi="Times New Roman" w:eastAsia="仿宋_GB2312" w:cs="Times New Roman"/>
      <w:sz w:val="16"/>
      <w:szCs w:val="16"/>
    </w:rPr>
  </w:style>
  <w:style w:type="character" w:customStyle="1" w:styleId="46">
    <w:name w:val="文档结构图 Char1"/>
    <w:basedOn w:val="28"/>
    <w:semiHidden/>
    <w:uiPriority w:val="99"/>
    <w:rPr>
      <w:rFonts w:ascii="Microsoft YaHei UI" w:hAnsi="Times New Roman" w:eastAsia="Microsoft YaHei UI" w:cs="Times New Roman"/>
      <w:sz w:val="18"/>
      <w:szCs w:val="18"/>
    </w:rPr>
  </w:style>
  <w:style w:type="character" w:customStyle="1" w:styleId="47">
    <w:name w:val="日期 Char"/>
    <w:basedOn w:val="28"/>
    <w:link w:val="13"/>
    <w:qFormat/>
    <w:uiPriority w:val="0"/>
    <w:rPr>
      <w:rFonts w:ascii="Arial" w:hAnsi="Arial" w:eastAsia="楷体_GB2312" w:cs="Times New Roman"/>
      <w:sz w:val="28"/>
      <w:szCs w:val="32"/>
    </w:rPr>
  </w:style>
  <w:style w:type="character" w:customStyle="1" w:styleId="48">
    <w:name w:val="正文文本缩进 2 Char1"/>
    <w:basedOn w:val="28"/>
    <w:semiHidden/>
    <w:qFormat/>
    <w:uiPriority w:val="99"/>
    <w:rPr>
      <w:rFonts w:ascii="仿宋_GB2312" w:hAnsi="Times New Roman" w:eastAsia="仿宋_GB2312" w:cs="Times New Roman"/>
      <w:sz w:val="32"/>
      <w:szCs w:val="32"/>
    </w:rPr>
  </w:style>
  <w:style w:type="character" w:customStyle="1" w:styleId="49">
    <w:name w:val="批注框文本 Char1"/>
    <w:basedOn w:val="28"/>
    <w:semiHidden/>
    <w:uiPriority w:val="99"/>
    <w:rPr>
      <w:rFonts w:ascii="仿宋_GB2312" w:hAnsi="Times New Roman" w:eastAsia="仿宋_GB2312" w:cs="Times New Roman"/>
      <w:sz w:val="18"/>
      <w:szCs w:val="18"/>
    </w:rPr>
  </w:style>
  <w:style w:type="paragraph" w:customStyle="1" w:styleId="50">
    <w:name w:val="样式 正文（首行缩进两字） + 宋体 小四"/>
    <w:basedOn w:val="6"/>
    <w:qFormat/>
    <w:uiPriority w:val="0"/>
    <w:pPr>
      <w:spacing w:line="100" w:lineRule="atLeast"/>
      <w:ind w:firstLine="614" w:firstLineChars="192"/>
      <w:jc w:val="left"/>
    </w:pPr>
    <w:rPr>
      <w:rFonts w:hAnsi="宋体"/>
      <w:szCs w:val="20"/>
    </w:rPr>
  </w:style>
  <w:style w:type="paragraph" w:customStyle="1" w:styleId="51">
    <w:name w:val="Char6"/>
    <w:basedOn w:val="1"/>
    <w:uiPriority w:val="0"/>
    <w:pPr>
      <w:widowControl/>
      <w:spacing w:after="160" w:line="240" w:lineRule="exact"/>
      <w:jc w:val="left"/>
    </w:pPr>
    <w:rPr>
      <w:szCs w:val="20"/>
    </w:rPr>
  </w:style>
  <w:style w:type="paragraph" w:customStyle="1" w:styleId="52">
    <w:name w:val="Char"/>
    <w:basedOn w:val="1"/>
    <w:qFormat/>
    <w:uiPriority w:val="0"/>
    <w:pPr>
      <w:widowControl/>
      <w:spacing w:after="160" w:line="240" w:lineRule="exact"/>
      <w:jc w:val="left"/>
    </w:pPr>
    <w:rPr>
      <w:rFonts w:ascii="Verdana" w:hAnsi="Verdana" w:eastAsia="宋体"/>
      <w:kern w:val="0"/>
      <w:sz w:val="20"/>
      <w:szCs w:val="20"/>
      <w:lang w:eastAsia="en-US"/>
    </w:rPr>
  </w:style>
  <w:style w:type="character" w:customStyle="1" w:styleId="53">
    <w:name w:val="普通(网站) Char"/>
    <w:link w:val="21"/>
    <w:qFormat/>
    <w:uiPriority w:val="0"/>
    <w:rPr>
      <w:rFonts w:ascii="Times New Roman" w:hAnsi="Times New Roman" w:eastAsia="宋体" w:cs="Times New Roman"/>
      <w:sz w:val="24"/>
      <w:szCs w:val="24"/>
    </w:rPr>
  </w:style>
  <w:style w:type="character" w:customStyle="1" w:styleId="54">
    <w:name w:val="正文文本 Char"/>
    <w:basedOn w:val="28"/>
    <w:link w:val="10"/>
    <w:uiPriority w:val="0"/>
    <w:rPr>
      <w:rFonts w:ascii="仿宋_GB2312" w:hAnsi="Times New Roman" w:eastAsia="仿宋_GB2312" w:cs="Times New Roman"/>
      <w:sz w:val="32"/>
      <w:szCs w:val="32"/>
    </w:rPr>
  </w:style>
  <w:style w:type="character" w:customStyle="1" w:styleId="55">
    <w:name w:val="正文首行缩进 Char"/>
    <w:basedOn w:val="54"/>
    <w:link w:val="24"/>
    <w:uiPriority w:val="0"/>
    <w:rPr>
      <w:rFonts w:ascii="Times New Roman" w:hAnsi="Times New Roman" w:eastAsia="宋体" w:cs="Times New Roman"/>
      <w:sz w:val="32"/>
      <w:szCs w:val="24"/>
    </w:rPr>
  </w:style>
  <w:style w:type="character" w:customStyle="1" w:styleId="56">
    <w:name w:val="批注主题 Char"/>
    <w:link w:val="23"/>
    <w:uiPriority w:val="0"/>
    <w:rPr>
      <w:b/>
      <w:bCs/>
      <w:szCs w:val="24"/>
    </w:rPr>
  </w:style>
  <w:style w:type="character" w:customStyle="1" w:styleId="57">
    <w:name w:val="批注文字 Char"/>
    <w:basedOn w:val="28"/>
    <w:link w:val="8"/>
    <w:uiPriority w:val="0"/>
    <w:rPr>
      <w:rFonts w:ascii="仿宋_GB2312" w:hAnsi="Times New Roman" w:eastAsia="仿宋_GB2312" w:cs="Times New Roman"/>
      <w:sz w:val="32"/>
      <w:szCs w:val="32"/>
    </w:rPr>
  </w:style>
  <w:style w:type="character" w:customStyle="1" w:styleId="58">
    <w:name w:val="批注主题 Char1"/>
    <w:basedOn w:val="57"/>
    <w:uiPriority w:val="0"/>
    <w:rPr>
      <w:rFonts w:ascii="仿宋_GB2312" w:hAnsi="Times New Roman" w:eastAsia="仿宋_GB2312" w:cs="Times New Roman"/>
      <w:b/>
      <w:bCs/>
      <w:sz w:val="32"/>
      <w:szCs w:val="32"/>
    </w:rPr>
  </w:style>
  <w:style w:type="paragraph" w:customStyle="1" w:styleId="59">
    <w:name w:val="Default"/>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character" w:customStyle="1" w:styleId="60">
    <w:name w:val="正文首行缩进 2 Char"/>
    <w:basedOn w:val="44"/>
    <w:link w:val="25"/>
    <w:qFormat/>
    <w:uiPriority w:val="0"/>
    <w:rPr>
      <w:rFonts w:ascii="仿宋_GB2312" w:hAnsi="Times New Roman" w:eastAsia="仿宋_GB2312" w:cs="Times New Roman"/>
      <w:sz w:val="32"/>
      <w:szCs w:val="32"/>
    </w:rPr>
  </w:style>
  <w:style w:type="character" w:customStyle="1" w:styleId="61">
    <w:name w:val="正文文本缩进 Char1"/>
    <w:link w:val="11"/>
    <w:uiPriority w:val="0"/>
    <w:rPr>
      <w:rFonts w:ascii="仿宋_GB2312" w:hAnsi="Times New Roman" w:eastAsia="仿宋_GB2312" w:cs="Times New Roman"/>
      <w:sz w:val="28"/>
      <w:szCs w:val="32"/>
    </w:rPr>
  </w:style>
  <w:style w:type="character" w:customStyle="1" w:styleId="62">
    <w:name w:val="批注文字 Char1"/>
    <w:semiHidden/>
    <w:uiPriority w:val="99"/>
    <w:rPr>
      <w:rFonts w:ascii="仿宋_GB2312" w:eastAsia="仿宋_GB2312"/>
      <w:kern w:val="2"/>
      <w:sz w:val="32"/>
      <w:szCs w:val="32"/>
    </w:rPr>
  </w:style>
  <w:style w:type="character" w:customStyle="1" w:styleId="63">
    <w:name w:val="正文文本 Char1"/>
    <w:semiHidden/>
    <w:uiPriority w:val="99"/>
    <w:rPr>
      <w:rFonts w:ascii="仿宋_GB2312" w:eastAsia="仿宋_GB2312"/>
      <w:kern w:val="2"/>
      <w:sz w:val="32"/>
      <w:szCs w:val="32"/>
    </w:rPr>
  </w:style>
  <w:style w:type="character" w:customStyle="1" w:styleId="64">
    <w:name w:val="批注主题 Char2"/>
    <w:semiHidden/>
    <w:uiPriority w:val="99"/>
    <w:rPr>
      <w:rFonts w:ascii="仿宋_GB2312" w:eastAsia="仿宋_GB2312"/>
      <w:b/>
      <w:bCs/>
      <w:kern w:val="2"/>
      <w:sz w:val="32"/>
      <w:szCs w:val="32"/>
    </w:rPr>
  </w:style>
  <w:style w:type="character" w:customStyle="1" w:styleId="65">
    <w:name w:val="正文首行缩进 Char1"/>
    <w:semiHidden/>
    <w:uiPriority w:val="99"/>
  </w:style>
  <w:style w:type="paragraph" w:styleId="6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2575</Words>
  <Characters>14680</Characters>
  <Lines>122</Lines>
  <Paragraphs>34</Paragraphs>
  <TotalTime>103</TotalTime>
  <ScaleCrop>false</ScaleCrop>
  <LinksUpToDate>false</LinksUpToDate>
  <CharactersWithSpaces>17221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2019-05-28T01:04:00Z</dcterms:created>
  <dc:creator>李智强</dc:creator>
  <cp:lastModifiedBy>小白</cp:lastModifiedBy>
  <dcterms:modified xsi:type="dcterms:W3CDTF">2019-05-29T02:53:01Z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