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tabs>
          <w:tab w:val="left" w:pos="5520"/>
        </w:tabs>
        <w:spacing w:line="360" w:lineRule="auto"/>
        <w:jc w:val="center"/>
        <w:rPr>
          <w:rFonts w:hAnsi="宋体" w:cs="宋体"/>
          <w:color w:val="000000" w:themeColor="text1"/>
          <w:sz w:val="44"/>
          <w:szCs w:val="44"/>
          <w:highlight w:val="none"/>
          <w14:textFill>
            <w14:solidFill>
              <w14:schemeClr w14:val="tx1"/>
            </w14:solidFill>
          </w14:textFill>
        </w:rPr>
      </w:pPr>
    </w:p>
    <w:p>
      <w:pPr>
        <w:pStyle w:val="12"/>
        <w:tabs>
          <w:tab w:val="left" w:pos="5520"/>
        </w:tabs>
        <w:spacing w:line="360" w:lineRule="auto"/>
        <w:jc w:val="center"/>
        <w:rPr>
          <w:rFonts w:hint="eastAsia" w:hAnsi="宋体" w:eastAsia="宋体" w:cs="宋体"/>
          <w:color w:val="000000" w:themeColor="text1"/>
          <w:sz w:val="44"/>
          <w:szCs w:val="44"/>
          <w:highlight w:val="none"/>
          <w:lang w:eastAsia="zh-CN"/>
          <w14:textFill>
            <w14:solidFill>
              <w14:schemeClr w14:val="tx1"/>
            </w14:solidFill>
          </w14:textFill>
        </w:rPr>
      </w:pPr>
      <w:r>
        <w:rPr>
          <w:rFonts w:hint="eastAsia" w:hAnsi="宋体" w:cs="宋体"/>
          <w:color w:val="000000" w:themeColor="text1"/>
          <w:sz w:val="44"/>
          <w:szCs w:val="44"/>
          <w:highlight w:val="none"/>
          <w:lang w:eastAsia="zh-CN"/>
          <w14:textFill>
            <w14:solidFill>
              <w14:schemeClr w14:val="tx1"/>
            </w14:solidFill>
          </w14:textFill>
        </w:rPr>
        <w:t>2019年度驿达公司服务区便利店、客房及青年之家家具采购及安装项目（二次）</w:t>
      </w:r>
    </w:p>
    <w:p>
      <w:pPr>
        <w:pStyle w:val="12"/>
        <w:spacing w:line="360" w:lineRule="auto"/>
        <w:jc w:val="both"/>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int="eastAsia" w:hAnsi="宋体" w:cs="宋体"/>
          <w:color w:val="000000" w:themeColor="text1"/>
          <w:sz w:val="52"/>
          <w:szCs w:val="52"/>
          <w:highlight w:val="none"/>
          <w14:textFill>
            <w14:solidFill>
              <w14:schemeClr w14:val="tx1"/>
            </w14:solidFill>
          </w14:textFill>
        </w:rPr>
        <w:t>询</w:t>
      </w: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int="eastAsia" w:hAnsi="宋体" w:cs="宋体"/>
          <w:color w:val="000000" w:themeColor="text1"/>
          <w:sz w:val="52"/>
          <w:szCs w:val="52"/>
          <w:highlight w:val="none"/>
          <w14:textFill>
            <w14:solidFill>
              <w14:schemeClr w14:val="tx1"/>
            </w14:solidFill>
          </w14:textFill>
        </w:rPr>
        <w:t>比</w:t>
      </w: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Ansi="宋体" w:cs="宋体"/>
          <w:color w:val="000000" w:themeColor="text1"/>
          <w:sz w:val="52"/>
          <w:szCs w:val="52"/>
          <w:highlight w:val="none"/>
          <w14:textFill>
            <w14:solidFill>
              <w14:schemeClr w14:val="tx1"/>
            </w14:solidFill>
          </w14:textFill>
        </w:rPr>
        <w:t>文</w:t>
      </w:r>
    </w:p>
    <w:p>
      <w:pPr>
        <w:pStyle w:val="12"/>
        <w:spacing w:line="360" w:lineRule="auto"/>
        <w:jc w:val="center"/>
        <w:rPr>
          <w:rFonts w:hAnsi="宋体" w:cs="宋体"/>
          <w:color w:val="000000" w:themeColor="text1"/>
          <w:sz w:val="52"/>
          <w:szCs w:val="52"/>
          <w:highlight w:val="none"/>
          <w14:textFill>
            <w14:solidFill>
              <w14:schemeClr w14:val="tx1"/>
            </w14:solidFill>
          </w14:textFill>
        </w:rPr>
      </w:pPr>
      <w:r>
        <w:rPr>
          <w:rFonts w:hAnsi="宋体" w:cs="宋体"/>
          <w:color w:val="000000" w:themeColor="text1"/>
          <w:sz w:val="52"/>
          <w:szCs w:val="52"/>
          <w:highlight w:val="none"/>
          <w14:textFill>
            <w14:solidFill>
              <w14:schemeClr w14:val="tx1"/>
            </w14:solidFill>
          </w14:textFill>
        </w:rPr>
        <w:t>件</w:t>
      </w:r>
    </w:p>
    <w:p>
      <w:pPr>
        <w:pStyle w:val="12"/>
        <w:spacing w:line="360" w:lineRule="auto"/>
        <w:rPr>
          <w:rFonts w:hAnsi="宋体" w:cs="宋体"/>
          <w:color w:val="000000" w:themeColor="text1"/>
          <w:sz w:val="22"/>
          <w:szCs w:val="22"/>
          <w:highlight w:val="none"/>
          <w14:textFill>
            <w14:solidFill>
              <w14:schemeClr w14:val="tx1"/>
            </w14:solidFill>
          </w14:textFill>
        </w:rPr>
      </w:pPr>
    </w:p>
    <w:p>
      <w:pPr>
        <w:pStyle w:val="12"/>
        <w:spacing w:line="360" w:lineRule="auto"/>
        <w:rPr>
          <w:rFonts w:hAnsi="宋体" w:cs="宋体"/>
          <w:color w:val="000000" w:themeColor="text1"/>
          <w:sz w:val="22"/>
          <w:szCs w:val="22"/>
          <w:highlight w:val="none"/>
          <w14:textFill>
            <w14:solidFill>
              <w14:schemeClr w14:val="tx1"/>
            </w14:solidFill>
          </w14:textFill>
        </w:rPr>
      </w:pPr>
    </w:p>
    <w:p>
      <w:pPr>
        <w:pStyle w:val="12"/>
        <w:spacing w:line="360" w:lineRule="auto"/>
        <w:rPr>
          <w:rFonts w:hAnsi="宋体" w:cs="宋体"/>
          <w:color w:val="000000" w:themeColor="text1"/>
          <w:sz w:val="22"/>
          <w:szCs w:val="22"/>
          <w:highlight w:val="none"/>
          <w14:textFill>
            <w14:solidFill>
              <w14:schemeClr w14:val="tx1"/>
            </w14:solidFill>
          </w14:textFill>
        </w:rPr>
      </w:pPr>
    </w:p>
    <w:p>
      <w:pPr>
        <w:pStyle w:val="12"/>
        <w:spacing w:line="360" w:lineRule="auto"/>
        <w:rPr>
          <w:rFonts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 xml:space="preserve">采购人：安徽省驿达高速公路服务区经营管理有限公司  </w:t>
      </w:r>
      <w:r>
        <w:rPr>
          <w:rFonts w:ascii="宋体" w:hAnsi="宋体" w:cs="宋体"/>
          <w:color w:val="000000" w:themeColor="text1"/>
          <w:sz w:val="32"/>
          <w:szCs w:val="32"/>
          <w:highlight w:val="none"/>
          <w14:textFill>
            <w14:solidFill>
              <w14:schemeClr w14:val="tx1"/>
            </w14:solidFill>
          </w14:textFill>
        </w:rPr>
        <w:t xml:space="preserve"> </w:t>
      </w:r>
    </w:p>
    <w:p>
      <w:pPr>
        <w:spacing w:line="360" w:lineRule="auto"/>
        <w:jc w:val="center"/>
        <w:rPr>
          <w:rFonts w:ascii="宋体" w:hAnsi="宋体" w:cs="宋体"/>
          <w:color w:val="000000" w:themeColor="text1"/>
          <w:sz w:val="32"/>
          <w:szCs w:val="32"/>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850" w:h="16783"/>
          <w:pgMar w:top="1440" w:right="1077" w:bottom="1440" w:left="1247" w:header="851" w:footer="992" w:gutter="0"/>
          <w:cols w:space="720" w:num="1"/>
          <w:titlePg/>
          <w:docGrid w:type="lines" w:linePitch="312" w:charSpace="0"/>
        </w:sectPr>
      </w:pPr>
      <w:r>
        <w:rPr>
          <w:rFonts w:hint="eastAsia" w:ascii="宋体" w:hAnsi="宋体" w:cs="宋体"/>
          <w:color w:val="000000" w:themeColor="text1"/>
          <w:sz w:val="32"/>
          <w:szCs w:val="32"/>
          <w:highlight w:val="none"/>
          <w14:textFill>
            <w14:solidFill>
              <w14:schemeClr w14:val="tx1"/>
            </w14:solidFill>
          </w14:textFill>
        </w:rPr>
        <w:t>二〇一九年</w:t>
      </w:r>
      <w:r>
        <w:rPr>
          <w:rFonts w:hint="eastAsia" w:ascii="宋体" w:hAnsi="宋体" w:cs="宋体"/>
          <w:color w:val="000000" w:themeColor="text1"/>
          <w:sz w:val="32"/>
          <w:szCs w:val="32"/>
          <w:highlight w:val="none"/>
          <w:lang w:val="en-US" w:eastAsia="zh-CN"/>
          <w14:textFill>
            <w14:solidFill>
              <w14:schemeClr w14:val="tx1"/>
            </w14:solidFill>
          </w14:textFill>
        </w:rPr>
        <w:t>十一</w:t>
      </w:r>
      <w:r>
        <w:rPr>
          <w:rFonts w:hint="eastAsia" w:ascii="宋体" w:hAnsi="宋体" w:cs="宋体"/>
          <w:color w:val="000000" w:themeColor="text1"/>
          <w:sz w:val="32"/>
          <w:szCs w:val="32"/>
          <w:highlight w:val="none"/>
          <w14:textFill>
            <w14:solidFill>
              <w14:schemeClr w14:val="tx1"/>
            </w14:solidFill>
          </w14:textFill>
        </w:rPr>
        <w:t>月</w:t>
      </w: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目   录</w:t>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bookmarkStart w:id="0" w:name="_Toc189369358"/>
    </w:p>
    <w:bookmarkEnd w:id="0"/>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bookmarkStart w:id="1" w:name="_Toc15229"/>
      <w:bookmarkStart w:id="2" w:name="_Toc4759"/>
      <w:r>
        <w:rPr>
          <w:rFonts w:hint="eastAsia"/>
          <w:color w:val="000000" w:themeColor="text1"/>
          <w:sz w:val="32"/>
          <w:szCs w:val="32"/>
          <w:highlight w:val="none"/>
          <w14:textFill>
            <w14:solidFill>
              <w14:schemeClr w14:val="tx1"/>
            </w14:solidFill>
          </w14:textFill>
        </w:rPr>
        <w:fldChar w:fldCharType="begin"/>
      </w:r>
      <w:r>
        <w:rPr>
          <w:rFonts w:hint="eastAsia"/>
          <w:color w:val="000000" w:themeColor="text1"/>
          <w:sz w:val="32"/>
          <w:szCs w:val="32"/>
          <w:highlight w:val="none"/>
          <w14:textFill>
            <w14:solidFill>
              <w14:schemeClr w14:val="tx1"/>
            </w14:solidFill>
          </w14:textFill>
        </w:rPr>
        <w:instrText xml:space="preserve">TOC \o "1-1" \h \u </w:instrText>
      </w:r>
      <w:r>
        <w:rPr>
          <w:rFonts w:hint="eastAsia"/>
          <w:color w:val="000000" w:themeColor="text1"/>
          <w:sz w:val="32"/>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"_Toc16585717"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第一章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 xml:space="preserve"> 询比公告</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"_Toc16585718"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第二章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竞标人须知</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"_Toc16585719"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第三章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评标办法（经评审的最低投标价法）</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"_Toc16585720"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第四章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合同条款及格式</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"_Toc16585721"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第五章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供货要求</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"_Toc16585721"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第六章</w:t>
      </w:r>
      <w:r>
        <w:rPr>
          <w:color w:val="000000" w:themeColor="text1"/>
          <w:sz w:val="32"/>
          <w:szCs w:val="32"/>
          <w:highlight w:val="none"/>
          <w14:textFill>
            <w14:solidFill>
              <w14:schemeClr w14:val="tx1"/>
            </w14:solidFill>
          </w14:textFill>
        </w:rPr>
        <w:t xml:space="preserve">  </w:t>
      </w:r>
      <w:r>
        <w:rPr>
          <w:rFonts w:hint="eastAsia"/>
          <w:color w:val="000000" w:themeColor="text1"/>
          <w:sz w:val="32"/>
          <w:szCs w:val="32"/>
          <w:highlight w:val="none"/>
          <w14:textFill>
            <w14:solidFill>
              <w14:schemeClr w14:val="tx1"/>
            </w14:solidFill>
          </w14:textFill>
        </w:rPr>
        <w:t>响应文件格式</w:t>
      </w:r>
      <w:r>
        <w:rPr>
          <w:rFonts w:hint="eastAsia"/>
          <w:color w:val="000000" w:themeColor="text1"/>
          <w:sz w:val="32"/>
          <w:szCs w:val="32"/>
          <w:highlight w:val="none"/>
          <w14:textFill>
            <w14:solidFill>
              <w14:schemeClr w14:val="tx1"/>
            </w14:solidFill>
          </w14:textFill>
        </w:rPr>
        <w:fldChar w:fldCharType="end"/>
      </w:r>
    </w:p>
    <w:p>
      <w:pPr>
        <w:pStyle w:val="15"/>
        <w:tabs>
          <w:tab w:val="right" w:leader="dot" w:pos="9516"/>
        </w:tabs>
        <w:spacing w:line="480" w:lineRule="auto"/>
        <w:jc w:val="left"/>
        <w:rPr>
          <w:color w:val="000000" w:themeColor="text1"/>
          <w:sz w:val="32"/>
          <w:szCs w:val="32"/>
          <w:highlight w:val="none"/>
          <w14:textFill>
            <w14:solidFill>
              <w14:schemeClr w14:val="tx1"/>
            </w14:solidFill>
          </w14:textFill>
        </w:rPr>
      </w:pPr>
    </w:p>
    <w:p>
      <w:pPr>
        <w:pStyle w:val="15"/>
        <w:tabs>
          <w:tab w:val="right" w:leader="dot" w:pos="9516"/>
        </w:tabs>
        <w:spacing w:line="480" w:lineRule="auto"/>
        <w:jc w:val="left"/>
        <w:rPr>
          <w:rFonts w:ascii="宋体" w:hAnsi="宋体" w:cs="宋体"/>
          <w:color w:val="000000" w:themeColor="text1"/>
          <w:sz w:val="24"/>
          <w:szCs w:val="24"/>
          <w:highlight w:val="none"/>
          <w14:textFill>
            <w14:solidFill>
              <w14:schemeClr w14:val="tx1"/>
            </w14:solidFill>
          </w14:textFill>
        </w:rPr>
        <w:sectPr>
          <w:headerReference r:id="rId10" w:type="first"/>
          <w:footerReference r:id="rId12" w:type="first"/>
          <w:headerReference r:id="rId9" w:type="default"/>
          <w:footerReference r:id="rId11" w:type="default"/>
          <w:pgSz w:w="11850" w:h="16783"/>
          <w:pgMar w:top="1440" w:right="1077" w:bottom="1440" w:left="1247" w:header="851" w:footer="992" w:gutter="0"/>
          <w:cols w:space="720" w:num="1"/>
          <w:titlePg/>
          <w:docGrid w:linePitch="312" w:charSpace="0"/>
        </w:sectPr>
      </w:pPr>
      <w:r>
        <w:rPr>
          <w:rFonts w:hint="eastAsia"/>
          <w:color w:val="000000" w:themeColor="text1"/>
          <w:sz w:val="32"/>
          <w:szCs w:val="32"/>
          <w:highlight w:val="none"/>
          <w14:textFill>
            <w14:solidFill>
              <w14:schemeClr w14:val="tx1"/>
            </w14:solidFill>
          </w14:textFill>
        </w:rPr>
        <w:fldChar w:fldCharType="end"/>
      </w:r>
    </w:p>
    <w:p>
      <w:pPr>
        <w:pStyle w:val="5"/>
        <w:spacing w:line="400" w:lineRule="exact"/>
        <w:rPr>
          <w:rFonts w:ascii="仿宋" w:hAnsi="仿宋" w:eastAsia="仿宋" w:cs="仿宋"/>
          <w:b/>
          <w:bCs w:val="0"/>
          <w:color w:val="000000" w:themeColor="text1"/>
          <w:highlight w:val="none"/>
          <w14:textFill>
            <w14:solidFill>
              <w14:schemeClr w14:val="tx1"/>
            </w14:solidFill>
          </w14:textFill>
        </w:rPr>
      </w:pPr>
      <w:bookmarkStart w:id="3" w:name="_Toc16585717"/>
      <w:r>
        <w:rPr>
          <w:rFonts w:hint="eastAsia" w:ascii="仿宋" w:hAnsi="仿宋" w:eastAsia="仿宋" w:cs="仿宋"/>
          <w:b/>
          <w:bCs w:val="0"/>
          <w:color w:val="000000" w:themeColor="text1"/>
          <w:highlight w:val="none"/>
          <w14:textFill>
            <w14:solidFill>
              <w14:schemeClr w14:val="tx1"/>
            </w14:solidFill>
          </w14:textFill>
        </w:rPr>
        <w:t xml:space="preserve">第一章 </w:t>
      </w:r>
      <w:bookmarkEnd w:id="1"/>
      <w:bookmarkEnd w:id="2"/>
      <w:r>
        <w:rPr>
          <w:rFonts w:hint="eastAsia" w:ascii="仿宋" w:hAnsi="仿宋" w:eastAsia="仿宋" w:cs="仿宋"/>
          <w:b/>
          <w:bCs w:val="0"/>
          <w:color w:val="000000" w:themeColor="text1"/>
          <w:highlight w:val="none"/>
          <w14:textFill>
            <w14:solidFill>
              <w14:schemeClr w14:val="tx1"/>
            </w14:solidFill>
          </w14:textFill>
        </w:rPr>
        <w:t>询比公告</w:t>
      </w:r>
      <w:bookmarkEnd w:id="3"/>
    </w:p>
    <w:p>
      <w:pPr>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bookmarkStart w:id="4" w:name="_Toc90106641"/>
      <w:bookmarkStart w:id="5" w:name="_Toc90105636"/>
      <w:bookmarkStart w:id="6" w:name="_Toc90106822"/>
      <w:bookmarkStart w:id="7" w:name="_Toc90104554"/>
      <w:bookmarkStart w:id="8" w:name="_Toc90106003"/>
      <w:bookmarkStart w:id="9" w:name="_Toc90106184"/>
      <w:bookmarkStart w:id="10" w:name="_Toc90105449"/>
      <w:bookmarkStart w:id="11" w:name="_Toc90105072"/>
      <w:bookmarkStart w:id="12" w:name="_Toc92015764"/>
      <w:bookmarkStart w:id="13" w:name="_Toc90105261"/>
      <w:bookmarkStart w:id="14" w:name="_Toc90105822"/>
      <w:bookmarkStart w:id="15" w:name="_Toc89848282"/>
      <w:r>
        <w:rPr>
          <w:rFonts w:hint="eastAsia" w:ascii="仿宋" w:hAnsi="仿宋" w:eastAsia="仿宋" w:cs="仿宋"/>
          <w:color w:val="000000" w:themeColor="text1"/>
          <w:kern w:val="0"/>
          <w:sz w:val="32"/>
          <w:szCs w:val="32"/>
          <w:highlight w:val="none"/>
          <w14:textFill>
            <w14:solidFill>
              <w14:schemeClr w14:val="tx1"/>
            </w14:solidFill>
          </w14:textFill>
        </w:rPr>
        <w:t>本询比项目“</w:t>
      </w:r>
      <w:r>
        <w:rPr>
          <w:rFonts w:hint="eastAsia" w:ascii="仿宋" w:hAnsi="仿宋" w:eastAsia="仿宋" w:cs="仿宋"/>
          <w:color w:val="000000" w:themeColor="text1"/>
          <w:kern w:val="0"/>
          <w:sz w:val="32"/>
          <w:szCs w:val="32"/>
          <w:highlight w:val="none"/>
          <w:lang w:eastAsia="zh-CN"/>
          <w14:textFill>
            <w14:solidFill>
              <w14:schemeClr w14:val="tx1"/>
            </w14:solidFill>
          </w14:textFill>
        </w:rPr>
        <w:t>2019年度驿达公司服务区便利店、客房及青年之家家具采购及安装项目（二次）</w:t>
      </w:r>
      <w:r>
        <w:rPr>
          <w:rFonts w:hint="eastAsia" w:ascii="仿宋" w:hAnsi="仿宋" w:eastAsia="仿宋" w:cs="仿宋"/>
          <w:color w:val="000000" w:themeColor="text1"/>
          <w:kern w:val="0"/>
          <w:sz w:val="32"/>
          <w:szCs w:val="32"/>
          <w:highlight w:val="none"/>
          <w14:textFill>
            <w14:solidFill>
              <w14:schemeClr w14:val="tx1"/>
            </w14:solidFill>
          </w14:textFill>
        </w:rPr>
        <w:t>”已由安徽省驿达高速公路服务区经营管理有限公司批准实施,采购人为安徽省驿达高速公路服务区经营管理有限公司。现对“</w:t>
      </w:r>
      <w:r>
        <w:rPr>
          <w:rFonts w:hint="eastAsia" w:ascii="仿宋" w:hAnsi="仿宋" w:eastAsia="仿宋" w:cs="仿宋"/>
          <w:color w:val="000000" w:themeColor="text1"/>
          <w:kern w:val="0"/>
          <w:sz w:val="32"/>
          <w:szCs w:val="32"/>
          <w:highlight w:val="none"/>
          <w:lang w:eastAsia="zh-CN"/>
          <w14:textFill>
            <w14:solidFill>
              <w14:schemeClr w14:val="tx1"/>
            </w14:solidFill>
          </w14:textFill>
        </w:rPr>
        <w:t>2019年度驿达公司服务区便利店、客房及青年之家家具采购及安装项目（二次）</w:t>
      </w:r>
      <w:r>
        <w:rPr>
          <w:rFonts w:hint="eastAsia" w:ascii="仿宋" w:hAnsi="仿宋" w:eastAsia="仿宋" w:cs="仿宋"/>
          <w:color w:val="000000" w:themeColor="text1"/>
          <w:kern w:val="0"/>
          <w:sz w:val="32"/>
          <w:szCs w:val="32"/>
          <w:highlight w:val="none"/>
          <w14:textFill>
            <w14:solidFill>
              <w14:schemeClr w14:val="tx1"/>
            </w14:solidFill>
          </w14:textFill>
        </w:rPr>
        <w:t>”进行公开询比采购，欢迎符合条件的竞标人参加。</w:t>
      </w:r>
    </w:p>
    <w:p>
      <w:pPr>
        <w:widowControl/>
        <w:adjustRightInd w:val="0"/>
        <w:snapToGrid w:val="0"/>
        <w:spacing w:line="360" w:lineRule="auto"/>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kern w:val="0"/>
          <w:sz w:val="32"/>
          <w:szCs w:val="32"/>
          <w:highlight w:val="none"/>
          <w14:textFill>
            <w14:solidFill>
              <w14:schemeClr w14:val="tx1"/>
            </w14:solidFill>
          </w14:textFill>
        </w:rPr>
        <w:t>一、项目概况</w:t>
      </w:r>
    </w:p>
    <w:p>
      <w:pPr>
        <w:widowControl/>
        <w:adjustRightInd w:val="0"/>
        <w:snapToGrid w:val="0"/>
        <w:spacing w:line="360" w:lineRule="auto"/>
        <w:ind w:left="240" w:leftChars="100" w:firstLine="640" w:firstLineChars="200"/>
        <w:rPr>
          <w:rFonts w:hint="eastAsia" w:ascii="仿宋" w:hAnsi="仿宋" w:eastAsia="仿宋" w:cs="仿宋"/>
          <w:color w:val="000000" w:themeColor="text1"/>
          <w:kern w:val="0"/>
          <w:sz w:val="32"/>
          <w:szCs w:val="32"/>
          <w:highlight w:val="none"/>
          <w:lang w:eastAsia="zh-CN"/>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1.项目名称：</w:t>
      </w:r>
      <w:r>
        <w:rPr>
          <w:rFonts w:hint="eastAsia" w:ascii="仿宋" w:hAnsi="仿宋" w:eastAsia="仿宋" w:cs="仿宋"/>
          <w:color w:val="000000" w:themeColor="text1"/>
          <w:kern w:val="0"/>
          <w:sz w:val="32"/>
          <w:szCs w:val="32"/>
          <w:highlight w:val="none"/>
          <w:lang w:eastAsia="zh-CN"/>
          <w14:textFill>
            <w14:solidFill>
              <w14:schemeClr w14:val="tx1"/>
            </w14:solidFill>
          </w14:textFill>
        </w:rPr>
        <w:t>2019年度驿达公司服务区便利店、客房及青年之家家具采购及安装项目（二次）</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2.项目</w:t>
      </w:r>
      <w:r>
        <w:rPr>
          <w:rFonts w:ascii="仿宋" w:hAnsi="仿宋" w:eastAsia="仿宋" w:cs="仿宋"/>
          <w:color w:val="000000" w:themeColor="text1"/>
          <w:kern w:val="0"/>
          <w:sz w:val="32"/>
          <w:szCs w:val="32"/>
          <w:highlight w:val="none"/>
          <w14:textFill>
            <w14:solidFill>
              <w14:schemeClr w14:val="tx1"/>
            </w14:solidFill>
          </w14:textFill>
        </w:rPr>
        <w:t>地点</w:t>
      </w:r>
      <w:r>
        <w:rPr>
          <w:rFonts w:hint="eastAsia" w:ascii="仿宋" w:hAnsi="仿宋" w:eastAsia="仿宋" w:cs="仿宋"/>
          <w:color w:val="000000" w:themeColor="text1"/>
          <w:kern w:val="0"/>
          <w:sz w:val="32"/>
          <w:szCs w:val="32"/>
          <w:highlight w:val="none"/>
          <w14:textFill>
            <w14:solidFill>
              <w14:schemeClr w14:val="tx1"/>
            </w14:solidFill>
          </w14:textFill>
        </w:rPr>
        <w:t>：驿达公司服务区（皇甫山、杜集、仓镇、华阳、濉溪、三角元、宁国、金沙、太平湖、肥东等服务区）。</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3.采购单位:安徽省驿达高速公路服务区经营管理有限公司</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4.资金来源：业主自筹</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5.项目概况：本项目主要为驿达服务区便利店、客房及青年之家的家具采购及</w:t>
      </w:r>
      <w:r>
        <w:rPr>
          <w:rFonts w:ascii="仿宋" w:hAnsi="仿宋" w:eastAsia="仿宋" w:cs="仿宋"/>
          <w:color w:val="000000" w:themeColor="text1"/>
          <w:kern w:val="0"/>
          <w:sz w:val="32"/>
          <w:szCs w:val="32"/>
          <w:highlight w:val="none"/>
          <w14:textFill>
            <w14:solidFill>
              <w14:schemeClr w14:val="tx1"/>
            </w14:solidFill>
          </w14:textFill>
        </w:rPr>
        <w:t>安装</w:t>
      </w:r>
      <w:r>
        <w:rPr>
          <w:rFonts w:hint="eastAsia" w:ascii="仿宋" w:hAnsi="仿宋" w:eastAsia="仿宋" w:cs="仿宋"/>
          <w:color w:val="000000" w:themeColor="text1"/>
          <w:kern w:val="0"/>
          <w:sz w:val="32"/>
          <w:szCs w:val="32"/>
          <w:highlight w:val="none"/>
          <w14:textFill>
            <w14:solidFill>
              <w14:schemeClr w14:val="tx1"/>
            </w14:solidFill>
          </w14:textFill>
        </w:rPr>
        <w:t>（具体数量详见报价清单）。</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6.项目概算：97</w:t>
      </w:r>
      <w:r>
        <w:rPr>
          <w:rFonts w:ascii="仿宋" w:hAnsi="仿宋" w:eastAsia="仿宋" w:cs="仿宋"/>
          <w:color w:val="000000" w:themeColor="text1"/>
          <w:kern w:val="0"/>
          <w:sz w:val="32"/>
          <w:szCs w:val="32"/>
          <w:highlight w:val="none"/>
          <w14:textFill>
            <w14:solidFill>
              <w14:schemeClr w14:val="tx1"/>
            </w14:solidFill>
          </w14:textFill>
        </w:rPr>
        <w:t>.00</w:t>
      </w:r>
      <w:r>
        <w:rPr>
          <w:rFonts w:hint="eastAsia" w:ascii="仿宋" w:hAnsi="仿宋" w:eastAsia="仿宋" w:cs="仿宋"/>
          <w:color w:val="000000" w:themeColor="text1"/>
          <w:kern w:val="0"/>
          <w:sz w:val="32"/>
          <w:szCs w:val="32"/>
          <w:highlight w:val="none"/>
          <w14:textFill>
            <w14:solidFill>
              <w14:schemeClr w14:val="tx1"/>
            </w14:solidFill>
          </w14:textFill>
        </w:rPr>
        <w:t>万元</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7.采购类别：货物类</w:t>
      </w:r>
    </w:p>
    <w:p>
      <w:pPr>
        <w:widowControl/>
        <w:adjustRightInd w:val="0"/>
        <w:snapToGrid w:val="0"/>
        <w:spacing w:line="360" w:lineRule="auto"/>
        <w:ind w:left="240" w:leftChars="100"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8.供货周期：接到业主供货通知之日起1个月完成供货安装工作。</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二、资格要求</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 xml:space="preserve"> (一) 具备独立法人资格、有效营业执照，能提供所投产品的供货商。</w:t>
      </w:r>
    </w:p>
    <w:p>
      <w:pPr>
        <w:tabs>
          <w:tab w:val="left" w:pos="2300"/>
          <w:tab w:val="left" w:pos="5660"/>
        </w:tabs>
        <w:autoSpaceDE w:val="0"/>
        <w:autoSpaceDN w:val="0"/>
        <w:adjustRightInd w:val="0"/>
        <w:spacing w:line="360" w:lineRule="auto"/>
        <w:ind w:firstLine="480" w:firstLineChars="150"/>
        <w:jc w:val="both"/>
        <w:rPr>
          <w:rFonts w:ascii="仿宋" w:hAnsi="仿宋" w:eastAsia="仿宋" w:cs="宋体"/>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(二) 近三年（2016年1月1日至今）至少有1个合同金额在60万元及以上的家具供货及安装业绩 (提供业绩的合同协议书复印件,时间以合同协议书的落款时间为准)。</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（三）信誉要求:没有在“信用中国”网站(http://www.creditchina.gov.cn)中被列入失信被执行人名单。</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（四）单位负责人为同一人或者存在控股、管理关系的不同单位,不得参加同一标包或者未划分标包的同一采购项目竞标。</w:t>
      </w:r>
    </w:p>
    <w:p>
      <w:pPr>
        <w:tabs>
          <w:tab w:val="left" w:pos="2300"/>
          <w:tab w:val="left" w:pos="5660"/>
        </w:tabs>
        <w:autoSpaceDE w:val="0"/>
        <w:autoSpaceDN w:val="0"/>
        <w:adjustRightInd w:val="0"/>
        <w:spacing w:line="360" w:lineRule="auto"/>
        <w:ind w:firstLine="482"/>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（五）本次采购不接受联合体投标。</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三、询比文件获取时间及方式</w:t>
      </w:r>
    </w:p>
    <w:p>
      <w:pPr>
        <w:tabs>
          <w:tab w:val="left" w:pos="2300"/>
          <w:tab w:val="left" w:pos="5660"/>
        </w:tabs>
        <w:autoSpaceDE w:val="0"/>
        <w:autoSpaceDN w:val="0"/>
        <w:adjustRightInd w:val="0"/>
        <w:spacing w:line="360" w:lineRule="auto"/>
        <w:ind w:firstLine="480"/>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凡有意参加的竞标单位，请在安徽省</w:t>
      </w:r>
      <w:r>
        <w:rPr>
          <w:rFonts w:ascii="仿宋" w:hAnsi="仿宋" w:eastAsia="仿宋" w:cs="仿宋"/>
          <w:color w:val="000000" w:themeColor="text1"/>
          <w:sz w:val="32"/>
          <w:szCs w:val="32"/>
          <w:highlight w:val="none"/>
          <w14:textFill>
            <w14:solidFill>
              <w14:schemeClr w14:val="tx1"/>
            </w14:solidFill>
          </w14:textFill>
        </w:rPr>
        <w:t>驿达高速公路服务区经营管理有限公司网站下载</w:t>
      </w:r>
      <w:r>
        <w:rPr>
          <w:rFonts w:hint="eastAsia" w:ascii="仿宋" w:hAnsi="仿宋" w:eastAsia="仿宋" w:cs="仿宋"/>
          <w:color w:val="000000" w:themeColor="text1"/>
          <w:sz w:val="32"/>
          <w:szCs w:val="32"/>
          <w:highlight w:val="none"/>
          <w14:textFill>
            <w14:solidFill>
              <w14:schemeClr w14:val="tx1"/>
            </w14:solidFill>
          </w14:textFill>
        </w:rPr>
        <w:t>询比文件。</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四、开标时间及地点</w:t>
      </w:r>
    </w:p>
    <w:p>
      <w:pPr>
        <w:tabs>
          <w:tab w:val="left" w:pos="2300"/>
          <w:tab w:val="left" w:pos="5660"/>
        </w:tabs>
        <w:autoSpaceDE w:val="0"/>
        <w:autoSpaceDN w:val="0"/>
        <w:adjustRightInd w:val="0"/>
        <w:spacing w:line="360" w:lineRule="auto"/>
        <w:ind w:firstLine="480"/>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1.开标时间：</w:t>
      </w:r>
      <w:r>
        <w:rPr>
          <w:rFonts w:hint="eastAsia" w:ascii="仿宋" w:hAnsi="仿宋" w:eastAsia="仿宋" w:cs="仿宋"/>
          <w:color w:val="000000" w:themeColor="text1"/>
          <w:sz w:val="32"/>
          <w:szCs w:val="32"/>
          <w:highlight w:val="none"/>
          <w:lang w:eastAsia="zh-CN"/>
          <w14:textFill>
            <w14:solidFill>
              <w14:schemeClr w14:val="tx1"/>
            </w14:solidFill>
          </w14:textFill>
        </w:rPr>
        <w:t>2019年11月12日上午10：00</w:t>
      </w:r>
      <w:r>
        <w:rPr>
          <w:rFonts w:hint="eastAsia" w:ascii="仿宋" w:hAnsi="仿宋" w:eastAsia="仿宋" w:cs="仿宋"/>
          <w:color w:val="000000" w:themeColor="text1"/>
          <w:sz w:val="32"/>
          <w:szCs w:val="32"/>
          <w:highlight w:val="none"/>
          <w14:textFill>
            <w14:solidFill>
              <w14:schemeClr w14:val="tx1"/>
            </w14:solidFill>
          </w14:textFill>
        </w:rPr>
        <w:t>。</w:t>
      </w:r>
    </w:p>
    <w:p>
      <w:pPr>
        <w:tabs>
          <w:tab w:val="left" w:pos="2300"/>
          <w:tab w:val="left" w:pos="5660"/>
        </w:tabs>
        <w:autoSpaceDE w:val="0"/>
        <w:autoSpaceDN w:val="0"/>
        <w:adjustRightInd w:val="0"/>
        <w:spacing w:line="360" w:lineRule="auto"/>
        <w:ind w:firstLine="48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2.开标地点：</w:t>
      </w:r>
      <w:r>
        <w:rPr>
          <w:rFonts w:hint="eastAsia" w:ascii="仿宋" w:hAnsi="仿宋" w:eastAsia="仿宋" w:cs="仿宋"/>
          <w:color w:val="000000" w:themeColor="text1"/>
          <w:kern w:val="0"/>
          <w:sz w:val="32"/>
          <w:szCs w:val="32"/>
          <w:highlight w:val="none"/>
          <w14:textFill>
            <w14:solidFill>
              <w14:schemeClr w14:val="tx1"/>
            </w14:solidFill>
          </w14:textFill>
        </w:rPr>
        <w:t>安徽省驿达高速公路服务区经营管理有限公司七</w:t>
      </w:r>
      <w:r>
        <w:rPr>
          <w:rFonts w:ascii="仿宋" w:hAnsi="仿宋" w:eastAsia="仿宋" w:cs="仿宋"/>
          <w:color w:val="000000" w:themeColor="text1"/>
          <w:kern w:val="0"/>
          <w:sz w:val="32"/>
          <w:szCs w:val="32"/>
          <w:highlight w:val="none"/>
          <w14:textFill>
            <w14:solidFill>
              <w14:schemeClr w14:val="tx1"/>
            </w14:solidFill>
          </w14:textFill>
        </w:rPr>
        <w:t>楼会议室</w:t>
      </w:r>
      <w:r>
        <w:rPr>
          <w:rFonts w:hint="eastAsia" w:ascii="仿宋" w:hAnsi="仿宋" w:eastAsia="仿宋" w:cs="仿宋"/>
          <w:color w:val="000000" w:themeColor="text1"/>
          <w:kern w:val="0"/>
          <w:sz w:val="32"/>
          <w:szCs w:val="32"/>
          <w:highlight w:val="none"/>
          <w14:textFill>
            <w14:solidFill>
              <w14:schemeClr w14:val="tx1"/>
            </w14:solidFill>
          </w14:textFill>
        </w:rPr>
        <w:t>。</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五、联系方式</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采购人：安徽省驿达高速公路服务区经营管理有限公司</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 xml:space="preserve">地址：合肥市望江西路520号皖通科技园皖通大厦 </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联系人：徐工 蔡工</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电话：0551-65333527  0551-63738567</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六、发布公告的媒介</w:t>
      </w:r>
    </w:p>
    <w:p>
      <w:pPr>
        <w:tabs>
          <w:tab w:val="left" w:pos="2300"/>
          <w:tab w:val="left" w:pos="5660"/>
        </w:tabs>
        <w:autoSpaceDE w:val="0"/>
        <w:autoSpaceDN w:val="0"/>
        <w:adjustRightInd w:val="0"/>
        <w:spacing w:line="360" w:lineRule="auto"/>
        <w:ind w:firstLine="480"/>
        <w:rPr>
          <w:color w:val="000000" w:themeColor="text1"/>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本次询比公告在安徽省驿达</w:t>
      </w:r>
      <w:r>
        <w:rPr>
          <w:rFonts w:ascii="仿宋" w:hAnsi="仿宋" w:eastAsia="仿宋" w:cs="仿宋"/>
          <w:color w:val="000000" w:themeColor="text1"/>
          <w:sz w:val="32"/>
          <w:szCs w:val="32"/>
          <w:highlight w:val="none"/>
          <w14:textFill>
            <w14:solidFill>
              <w14:schemeClr w14:val="tx1"/>
            </w14:solidFill>
          </w14:textFill>
        </w:rPr>
        <w:t>高速公路服务区经营管理</w:t>
      </w:r>
      <w:r>
        <w:rPr>
          <w:rFonts w:hint="eastAsia" w:ascii="仿宋" w:hAnsi="仿宋" w:eastAsia="仿宋" w:cs="仿宋"/>
          <w:color w:val="000000" w:themeColor="text1"/>
          <w:sz w:val="32"/>
          <w:szCs w:val="32"/>
          <w:highlight w:val="none"/>
          <w14:textFill>
            <w14:solidFill>
              <w14:schemeClr w14:val="tx1"/>
            </w14:solidFill>
          </w14:textFill>
        </w:rPr>
        <w:t>有限</w:t>
      </w:r>
      <w:r>
        <w:rPr>
          <w:rFonts w:ascii="仿宋" w:hAnsi="仿宋" w:eastAsia="仿宋" w:cs="仿宋"/>
          <w:color w:val="000000" w:themeColor="text1"/>
          <w:sz w:val="32"/>
          <w:szCs w:val="32"/>
          <w:highlight w:val="none"/>
          <w14:textFill>
            <w14:solidFill>
              <w14:schemeClr w14:val="tx1"/>
            </w14:solidFill>
          </w14:textFill>
        </w:rPr>
        <w:t>公司</w:t>
      </w:r>
      <w:r>
        <w:rPr>
          <w:rFonts w:hint="eastAsia" w:ascii="仿宋" w:hAnsi="仿宋" w:eastAsia="仿宋" w:cs="仿宋"/>
          <w:color w:val="000000" w:themeColor="text1"/>
          <w:sz w:val="32"/>
          <w:szCs w:val="32"/>
          <w:highlight w:val="none"/>
          <w14:textFill>
            <w14:solidFill>
              <w14:schemeClr w14:val="tx1"/>
            </w14:solidFill>
          </w14:textFill>
        </w:rPr>
        <w:t>网站上发布。</w:t>
      </w:r>
    </w:p>
    <w:p>
      <w:pPr>
        <w:tabs>
          <w:tab w:val="left" w:pos="2300"/>
          <w:tab w:val="left" w:pos="5660"/>
        </w:tabs>
        <w:autoSpaceDE w:val="0"/>
        <w:autoSpaceDN w:val="0"/>
        <w:adjustRightInd w:val="0"/>
        <w:spacing w:line="360" w:lineRule="auto"/>
        <w:ind w:firstLine="48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七、其他事项说明</w:t>
      </w:r>
    </w:p>
    <w:bookmarkEnd w:id="4"/>
    <w:bookmarkEnd w:id="5"/>
    <w:bookmarkEnd w:id="6"/>
    <w:bookmarkEnd w:id="7"/>
    <w:bookmarkEnd w:id="8"/>
    <w:bookmarkEnd w:id="9"/>
    <w:bookmarkEnd w:id="10"/>
    <w:bookmarkEnd w:id="11"/>
    <w:bookmarkEnd w:id="12"/>
    <w:bookmarkEnd w:id="13"/>
    <w:bookmarkEnd w:id="14"/>
    <w:bookmarkEnd w:id="15"/>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bookmarkStart w:id="16" w:name="_Toc7659"/>
      <w:bookmarkStart w:id="17" w:name="_Toc189369359"/>
      <w:bookmarkStart w:id="18" w:name="_Toc30210"/>
      <w:r>
        <w:rPr>
          <w:rFonts w:hint="eastAsia" w:ascii="仿宋" w:hAnsi="仿宋" w:eastAsia="仿宋" w:cs="仿宋"/>
          <w:color w:val="000000" w:themeColor="text1"/>
          <w:kern w:val="0"/>
          <w:sz w:val="32"/>
          <w:szCs w:val="32"/>
          <w:highlight w:val="none"/>
          <w14:textFill>
            <w14:solidFill>
              <w14:schemeClr w14:val="tx1"/>
            </w14:solidFill>
          </w14:textFill>
        </w:rPr>
        <w:t>1、采购人不组织现场考察与标前会议，竞标人可根据需要自行组织进行现场考察，现场考察期间的交通、食宿等由竞标人自行安排，费用自理。</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2、响应文件递交的截止时间（竞标截止时间）为</w:t>
      </w:r>
      <w:r>
        <w:rPr>
          <w:rFonts w:hint="eastAsia" w:ascii="仿宋" w:hAnsi="仿宋" w:eastAsia="仿宋" w:cs="仿宋"/>
          <w:color w:val="000000" w:themeColor="text1"/>
          <w:sz w:val="32"/>
          <w:szCs w:val="32"/>
          <w:highlight w:val="none"/>
          <w:lang w:eastAsia="zh-CN"/>
          <w14:textFill>
            <w14:solidFill>
              <w14:schemeClr w14:val="tx1"/>
            </w14:solidFill>
          </w14:textFill>
        </w:rPr>
        <w:t>2019年11月12日上午10：00</w:t>
      </w:r>
      <w:r>
        <w:rPr>
          <w:rFonts w:hint="eastAsia" w:ascii="仿宋" w:hAnsi="仿宋" w:eastAsia="仿宋" w:cs="仿宋"/>
          <w:color w:val="000000" w:themeColor="text1"/>
          <w:kern w:val="0"/>
          <w:sz w:val="32"/>
          <w:szCs w:val="32"/>
          <w:highlight w:val="none"/>
          <w14:textFill>
            <w14:solidFill>
              <w14:schemeClr w14:val="tx1"/>
            </w14:solidFill>
          </w14:textFill>
        </w:rPr>
        <w:t>，递交地点为安徽省驿达高速公路服务区经营管理有限公司七楼会议室</w:t>
      </w:r>
      <w:r>
        <w:rPr>
          <w:rFonts w:ascii="仿宋" w:hAnsi="仿宋" w:eastAsia="仿宋" w:cs="仿宋"/>
          <w:color w:val="000000" w:themeColor="text1"/>
          <w:kern w:val="0"/>
          <w:sz w:val="32"/>
          <w:szCs w:val="32"/>
          <w:highlight w:val="none"/>
          <w14:textFill>
            <w14:solidFill>
              <w14:schemeClr w14:val="tx1"/>
            </w14:solidFill>
          </w14:textFill>
        </w:rPr>
        <w:t>（合肥市望江西路</w:t>
      </w:r>
      <w:r>
        <w:rPr>
          <w:rFonts w:hint="eastAsia" w:ascii="仿宋" w:hAnsi="仿宋" w:eastAsia="仿宋" w:cs="仿宋"/>
          <w:color w:val="000000" w:themeColor="text1"/>
          <w:kern w:val="0"/>
          <w:sz w:val="32"/>
          <w:szCs w:val="32"/>
          <w:highlight w:val="none"/>
          <w14:textFill>
            <w14:solidFill>
              <w14:schemeClr w14:val="tx1"/>
            </w14:solidFill>
          </w14:textFill>
        </w:rPr>
        <w:t>520号</w:t>
      </w:r>
      <w:r>
        <w:rPr>
          <w:rFonts w:ascii="仿宋" w:hAnsi="仿宋" w:eastAsia="仿宋" w:cs="仿宋"/>
          <w:color w:val="000000" w:themeColor="text1"/>
          <w:kern w:val="0"/>
          <w:sz w:val="32"/>
          <w:szCs w:val="32"/>
          <w:highlight w:val="none"/>
          <w14:textFill>
            <w14:solidFill>
              <w14:schemeClr w14:val="tx1"/>
            </w14:solidFill>
          </w14:textFill>
        </w:rPr>
        <w:t>皖通科技园内</w:t>
      </w:r>
      <w:r>
        <w:rPr>
          <w:rFonts w:hint="eastAsia" w:ascii="仿宋" w:hAnsi="仿宋" w:eastAsia="仿宋" w:cs="仿宋"/>
          <w:color w:val="000000" w:themeColor="text1"/>
          <w:kern w:val="0"/>
          <w:sz w:val="32"/>
          <w:szCs w:val="32"/>
          <w:highlight w:val="none"/>
          <w14:textFill>
            <w14:solidFill>
              <w14:schemeClr w14:val="tx1"/>
            </w14:solidFill>
          </w14:textFill>
        </w:rPr>
        <w:t>皖通大厦</w:t>
      </w:r>
      <w:r>
        <w:rPr>
          <w:rFonts w:ascii="仿宋" w:hAnsi="仿宋" w:eastAsia="仿宋" w:cs="仿宋"/>
          <w:color w:val="000000" w:themeColor="text1"/>
          <w:kern w:val="0"/>
          <w:sz w:val="32"/>
          <w:szCs w:val="32"/>
          <w:highlight w:val="none"/>
          <w14:textFill>
            <w14:solidFill>
              <w14:schemeClr w14:val="tx1"/>
            </w14:solidFill>
          </w14:textFill>
        </w:rPr>
        <w:t>）</w:t>
      </w:r>
      <w:r>
        <w:rPr>
          <w:rFonts w:hint="eastAsia" w:ascii="仿宋" w:hAnsi="仿宋" w:eastAsia="仿宋" w:cs="仿宋"/>
          <w:color w:val="000000" w:themeColor="text1"/>
          <w:kern w:val="0"/>
          <w:sz w:val="32"/>
          <w:szCs w:val="32"/>
          <w:highlight w:val="none"/>
          <w14:textFill>
            <w14:solidFill>
              <w14:schemeClr w14:val="tx1"/>
            </w14:solidFill>
          </w14:textFill>
        </w:rPr>
        <w:t>。采购人定于响应文件递交截止的同一时间、同一地点举行公开开标。竞标人的法定代表人或授权代理人应携带本人身份证准时参加开标会议，否则将视其默认评审结果。逾期送达的或者未送达指定地点的响应文件，采购人不予受理。</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3、响应文件必须胶装，否则不计入有效报价。</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4、本项目竞标保证金金额为：18000元；若采用电汇（转账）形式，竞标保证金必须由竞标人的基本账户一次性汇入本公告所示账户，并在</w:t>
      </w:r>
      <w:r>
        <w:rPr>
          <w:rFonts w:hint="eastAsia" w:ascii="仿宋" w:hAnsi="仿宋" w:eastAsia="仿宋" w:cs="仿宋"/>
          <w:color w:val="000000" w:themeColor="text1"/>
          <w:sz w:val="32"/>
          <w:szCs w:val="32"/>
          <w:highlight w:val="none"/>
          <w:lang w:eastAsia="zh-CN"/>
          <w14:textFill>
            <w14:solidFill>
              <w14:schemeClr w14:val="tx1"/>
            </w14:solidFill>
          </w14:textFill>
        </w:rPr>
        <w:t>2019年11月12日上午10：00</w:t>
      </w:r>
      <w:r>
        <w:rPr>
          <w:rFonts w:hint="eastAsia" w:ascii="仿宋" w:hAnsi="仿宋" w:eastAsia="仿宋" w:cs="仿宋"/>
          <w:color w:val="000000" w:themeColor="text1"/>
          <w:kern w:val="0"/>
          <w:sz w:val="32"/>
          <w:szCs w:val="32"/>
          <w:highlight w:val="none"/>
          <w14:textFill>
            <w14:solidFill>
              <w14:schemeClr w14:val="tx1"/>
            </w14:solidFill>
          </w14:textFill>
        </w:rPr>
        <w:t>前到账，否则视为无效；若采用银行保函形式，则应由竞标人开立基本账户的银行开具，银行保函应采用询比文件提供的格式，银行保函原件装订在响应文件的正本之中。</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5、保证金账户（竞标单位基本户开户行汇入）</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户   名： 安徽省驿达高速公路服务区经营管理有限公司</w:t>
      </w:r>
    </w:p>
    <w:p>
      <w:pPr>
        <w:widowControl/>
        <w:adjustRightInd w:val="0"/>
        <w:snapToGrid w:val="0"/>
        <w:spacing w:line="360" w:lineRule="auto"/>
        <w:ind w:firstLine="640" w:firstLineChars="200"/>
        <w:rPr>
          <w:rFonts w:ascii="仿宋" w:hAnsi="仿宋" w:eastAsia="仿宋" w:cs="仿宋"/>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开户银行：中国工商银行合肥市高新技术产业开发区支行</w:t>
      </w:r>
    </w:p>
    <w:p>
      <w:pPr>
        <w:widowControl/>
        <w:adjustRightInd w:val="0"/>
        <w:snapToGrid w:val="0"/>
        <w:spacing w:line="360" w:lineRule="auto"/>
        <w:ind w:firstLine="640" w:firstLineChars="200"/>
        <w:rPr>
          <w:color w:val="000000" w:themeColor="text1"/>
          <w:highlight w:val="none"/>
          <w14:textFill>
            <w14:solidFill>
              <w14:schemeClr w14:val="tx1"/>
            </w14:solidFill>
          </w14:textFill>
        </w:rPr>
      </w:pPr>
      <w:r>
        <w:rPr>
          <w:rFonts w:hint="eastAsia" w:ascii="仿宋" w:hAnsi="仿宋" w:eastAsia="仿宋" w:cs="仿宋"/>
          <w:color w:val="000000" w:themeColor="text1"/>
          <w:kern w:val="0"/>
          <w:sz w:val="32"/>
          <w:szCs w:val="32"/>
          <w:highlight w:val="none"/>
          <w14:textFill>
            <w14:solidFill>
              <w14:schemeClr w14:val="tx1"/>
            </w14:solidFill>
          </w14:textFill>
        </w:rPr>
        <w:t>账    号： 1302011919201123880</w:t>
      </w:r>
      <w:bookmarkEnd w:id="16"/>
      <w:bookmarkEnd w:id="17"/>
      <w:bookmarkEnd w:id="18"/>
    </w:p>
    <w:p>
      <w:pPr>
        <w:jc w:val="center"/>
        <w:rPr>
          <w:b/>
          <w:color w:val="000000" w:themeColor="text1"/>
          <w:sz w:val="32"/>
          <w:szCs w:val="32"/>
          <w:highlight w:val="none"/>
          <w14:textFill>
            <w14:solidFill>
              <w14:schemeClr w14:val="tx1"/>
            </w14:solidFill>
          </w14:textFill>
        </w:rPr>
      </w:pPr>
      <w:bookmarkStart w:id="19" w:name="_Toc16585718"/>
      <w:r>
        <w:rPr>
          <w:rFonts w:hint="eastAsia"/>
          <w:color w:val="000000" w:themeColor="text1"/>
          <w:highlight w:val="none"/>
          <w14:textFill>
            <w14:solidFill>
              <w14:schemeClr w14:val="tx1"/>
            </w14:solidFill>
          </w14:textFill>
        </w:rPr>
        <w:br w:type="page"/>
      </w:r>
      <w:r>
        <w:rPr>
          <w:rFonts w:hint="eastAsia"/>
          <w:b/>
          <w:color w:val="000000" w:themeColor="text1"/>
          <w:sz w:val="32"/>
          <w:szCs w:val="32"/>
          <w:highlight w:val="none"/>
          <w14:textFill>
            <w14:solidFill>
              <w14:schemeClr w14:val="tx1"/>
            </w14:solidFill>
          </w14:textFill>
        </w:rPr>
        <w:t>第二章  竞标人须知</w:t>
      </w:r>
      <w:bookmarkEnd w:id="19"/>
    </w:p>
    <w:tbl>
      <w:tblPr>
        <w:tblStyle w:val="19"/>
        <w:tblW w:w="9513" w:type="dxa"/>
        <w:tblInd w:w="0" w:type="dxa"/>
        <w:tblLayout w:type="fixed"/>
        <w:tblCellMar>
          <w:top w:w="15" w:type="dxa"/>
          <w:left w:w="15" w:type="dxa"/>
          <w:bottom w:w="15" w:type="dxa"/>
          <w:right w:w="15" w:type="dxa"/>
        </w:tblCellMar>
      </w:tblPr>
      <w:tblGrid>
        <w:gridCol w:w="2850"/>
        <w:gridCol w:w="6663"/>
      </w:tblGrid>
      <w:tr>
        <w:tblPrEx>
          <w:tblCellMar>
            <w:top w:w="15" w:type="dxa"/>
            <w:left w:w="15" w:type="dxa"/>
            <w:bottom w:w="15" w:type="dxa"/>
            <w:right w:w="15" w:type="dxa"/>
          </w:tblCellMar>
        </w:tblPrEx>
        <w:trPr>
          <w:trHeight w:val="28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bookmarkStart w:id="20" w:name="_Toc2339"/>
            <w:r>
              <w:rPr>
                <w:rFonts w:hint="eastAsia" w:ascii="宋体" w:hAnsi="宋体" w:cs="宋体"/>
                <w:bCs/>
                <w:color w:val="000000" w:themeColor="text1"/>
                <w:kern w:val="0"/>
                <w:sz w:val="21"/>
                <w:szCs w:val="21"/>
                <w:highlight w:val="none"/>
                <w14:textFill>
                  <w14:solidFill>
                    <w14:schemeClr w14:val="tx1"/>
                  </w14:solidFill>
                </w14:textFill>
              </w:rPr>
              <w:t>名称</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编列内容</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资金来源及比例</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业主自筹，100%</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资金落实情况</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已落实</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是否接受联合体竞标</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不接受</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接受，应满足下列要求：</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竞标预备会</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不召开</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召开，召开时间：/</w:t>
            </w:r>
          </w:p>
        </w:tc>
      </w:tr>
      <w:tr>
        <w:tblPrEx>
          <w:tblCellMar>
            <w:top w:w="15" w:type="dxa"/>
            <w:left w:w="15" w:type="dxa"/>
            <w:bottom w:w="15" w:type="dxa"/>
            <w:right w:w="15" w:type="dxa"/>
          </w:tblCellMar>
        </w:tblPrEx>
        <w:trPr>
          <w:trHeight w:val="28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ind w:firstLine="840" w:firstLineChars="400"/>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召开地点：/</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分包</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不允许</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允许，分包内容要求：/</w:t>
            </w:r>
          </w:p>
        </w:tc>
      </w:tr>
      <w:tr>
        <w:tblPrEx>
          <w:tblCellMar>
            <w:top w:w="15" w:type="dxa"/>
            <w:left w:w="15" w:type="dxa"/>
            <w:bottom w:w="15" w:type="dxa"/>
            <w:right w:w="15" w:type="dxa"/>
          </w:tblCellMar>
        </w:tblPrEx>
        <w:trPr>
          <w:trHeight w:val="9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偏差</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允许正偏差</w:t>
            </w:r>
          </w:p>
        </w:tc>
      </w:tr>
      <w:tr>
        <w:tblPrEx>
          <w:tblCellMar>
            <w:top w:w="15" w:type="dxa"/>
            <w:left w:w="15" w:type="dxa"/>
            <w:bottom w:w="15" w:type="dxa"/>
            <w:right w:w="15" w:type="dxa"/>
          </w:tblCellMar>
        </w:tblPrEx>
        <w:trPr>
          <w:trHeight w:val="57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构成询比文件的其他资料</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u w:val="single"/>
                <w14:textFill>
                  <w14:solidFill>
                    <w14:schemeClr w14:val="tx1"/>
                  </w14:solidFill>
                </w14:textFill>
              </w:rPr>
            </w:pPr>
            <w:r>
              <w:rPr>
                <w:rFonts w:hint="eastAsia" w:ascii="宋体" w:hAnsi="宋体" w:cs="宋体"/>
                <w:bCs/>
                <w:color w:val="000000" w:themeColor="text1"/>
                <w:kern w:val="0"/>
                <w:sz w:val="21"/>
                <w:szCs w:val="21"/>
                <w:highlight w:val="none"/>
                <w:u w:val="single"/>
                <w14:textFill>
                  <w14:solidFill>
                    <w14:schemeClr w14:val="tx1"/>
                  </w14:solidFill>
                </w14:textFill>
              </w:rPr>
              <w:t>采购人</w:t>
            </w:r>
            <w:r>
              <w:rPr>
                <w:rFonts w:hint="eastAsia" w:ascii="宋体" w:hAnsi="宋体" w:cs="宋体"/>
                <w:bCs/>
                <w:color w:val="000000" w:themeColor="text1"/>
                <w:kern w:val="0"/>
                <w:sz w:val="21"/>
                <w:szCs w:val="21"/>
                <w:highlight w:val="none"/>
                <w14:textFill>
                  <w14:solidFill>
                    <w14:schemeClr w14:val="tx1"/>
                  </w14:solidFill>
                </w14:textFill>
              </w:rPr>
              <w:t>发布的有关本次采购的补遗书和通知公告等。</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竞标人要求澄清询比文件</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时间：递交响应文件截止之日</w:t>
            </w:r>
            <w:r>
              <w:rPr>
                <w:rStyle w:val="26"/>
                <w:rFonts w:hint="eastAsia" w:ascii="宋体" w:hAnsi="宋体" w:cs="宋体"/>
                <w:bCs/>
                <w:color w:val="000000" w:themeColor="text1"/>
                <w:sz w:val="21"/>
                <w:szCs w:val="21"/>
                <w:highlight w:val="none"/>
                <w14:textFill>
                  <w14:solidFill>
                    <w14:schemeClr w14:val="tx1"/>
                  </w14:solidFill>
                </w14:textFill>
              </w:rPr>
              <w:t>2</w:t>
            </w:r>
            <w:r>
              <w:rPr>
                <w:rStyle w:val="25"/>
                <w:rFonts w:hint="eastAsia" w:ascii="宋体" w:hAnsi="宋体" w:cs="宋体"/>
                <w:bCs/>
                <w:color w:val="000000" w:themeColor="text1"/>
                <w:sz w:val="21"/>
                <w:szCs w:val="21"/>
                <w:highlight w:val="none"/>
                <w14:textFill>
                  <w14:solidFill>
                    <w14:schemeClr w14:val="tx1"/>
                  </w14:solidFill>
                </w14:textFill>
              </w:rPr>
              <w:t>天前</w:t>
            </w:r>
          </w:p>
        </w:tc>
      </w:tr>
      <w:tr>
        <w:tblPrEx>
          <w:tblCellMar>
            <w:top w:w="15" w:type="dxa"/>
            <w:left w:w="15" w:type="dxa"/>
            <w:bottom w:w="15" w:type="dxa"/>
            <w:right w:w="15" w:type="dxa"/>
          </w:tblCellMar>
        </w:tblPrEx>
        <w:trPr>
          <w:trHeight w:val="9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询比文件澄清发出的形式</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以公告的形式</w:t>
            </w:r>
            <w:r>
              <w:rPr>
                <w:rFonts w:hint="eastAsia" w:ascii="宋体" w:hAnsi="宋体" w:cs="宋体"/>
                <w:color w:val="000000" w:themeColor="text1"/>
                <w:sz w:val="22"/>
                <w:szCs w:val="22"/>
                <w:highlight w:val="none"/>
                <w14:textFill>
                  <w14:solidFill>
                    <w14:schemeClr w14:val="tx1"/>
                  </w14:solidFill>
                </w14:textFill>
              </w:rPr>
              <w:t>信息发布，</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color w:val="000000" w:themeColor="text1"/>
                <w:sz w:val="22"/>
                <w:szCs w:val="22"/>
                <w:highlight w:val="none"/>
                <w14:textFill>
                  <w14:solidFill>
                    <w14:schemeClr w14:val="tx1"/>
                  </w14:solidFill>
                </w14:textFill>
              </w:rPr>
              <w:t>标人应主动关注驿达公司外网，无需回函确认；采购人不再以其他方式通知。</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构成响应文件的其他资料</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u w:val="single"/>
                <w14:textFill>
                  <w14:solidFill>
                    <w14:schemeClr w14:val="tx1"/>
                  </w14:solidFill>
                </w14:textFill>
              </w:rPr>
            </w:pPr>
            <w:r>
              <w:rPr>
                <w:rFonts w:hint="eastAsia" w:ascii="宋体" w:hAnsi="宋体" w:cs="宋体"/>
                <w:bCs/>
                <w:color w:val="000000" w:themeColor="text1"/>
                <w:kern w:val="0"/>
                <w:sz w:val="21"/>
                <w:szCs w:val="21"/>
                <w:highlight w:val="none"/>
                <w:u w:val="single"/>
                <w14:textFill>
                  <w14:solidFill>
                    <w14:schemeClr w14:val="tx1"/>
                  </w14:solidFill>
                </w14:textFill>
              </w:rPr>
              <w:t>/</w:t>
            </w:r>
          </w:p>
        </w:tc>
      </w:tr>
      <w:tr>
        <w:tblPrEx>
          <w:tblCellMar>
            <w:top w:w="15" w:type="dxa"/>
            <w:left w:w="15" w:type="dxa"/>
            <w:bottom w:w="15" w:type="dxa"/>
            <w:right w:w="15" w:type="dxa"/>
          </w:tblCellMar>
        </w:tblPrEx>
        <w:trPr>
          <w:trHeight w:val="27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最高竞标限价</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本项目最高竞标限价：97</w:t>
            </w:r>
            <w:r>
              <w:rPr>
                <w:rFonts w:ascii="宋体" w:hAnsi="宋体" w:cs="宋体"/>
                <w:bCs/>
                <w:color w:val="000000" w:themeColor="text1"/>
                <w:kern w:val="0"/>
                <w:sz w:val="21"/>
                <w:szCs w:val="21"/>
                <w:highlight w:val="none"/>
                <w14:textFill>
                  <w14:solidFill>
                    <w14:schemeClr w14:val="tx1"/>
                  </w14:solidFill>
                </w14:textFill>
              </w:rPr>
              <w:t>.00</w:t>
            </w:r>
            <w:r>
              <w:rPr>
                <w:rFonts w:hint="eastAsia" w:ascii="宋体" w:hAnsi="宋体" w:cs="宋体"/>
                <w:bCs/>
                <w:color w:val="000000" w:themeColor="text1"/>
                <w:kern w:val="0"/>
                <w:sz w:val="21"/>
                <w:szCs w:val="21"/>
                <w:highlight w:val="none"/>
                <w14:textFill>
                  <w14:solidFill>
                    <w14:schemeClr w14:val="tx1"/>
                  </w14:solidFill>
                </w14:textFill>
              </w:rPr>
              <w:t>万元</w:t>
            </w:r>
          </w:p>
        </w:tc>
      </w:tr>
      <w:tr>
        <w:tblPrEx>
          <w:tblCellMar>
            <w:top w:w="15" w:type="dxa"/>
            <w:left w:w="15" w:type="dxa"/>
            <w:bottom w:w="15" w:type="dxa"/>
            <w:right w:w="15" w:type="dxa"/>
          </w:tblCellMar>
        </w:tblPrEx>
        <w:trPr>
          <w:trHeight w:val="1026"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竞标报价的其他要求</w:t>
            </w:r>
          </w:p>
        </w:tc>
        <w:tc>
          <w:tcPr>
            <w:tcW w:w="6663" w:type="dxa"/>
            <w:tcBorders>
              <w:top w:val="single" w:color="000000" w:sz="4" w:space="0"/>
              <w:left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1</w:t>
            </w:r>
            <w:r>
              <w:rPr>
                <w:rStyle w:val="27"/>
                <w:rFonts w:hint="default"/>
                <w:bCs/>
                <w:color w:val="000000" w:themeColor="text1"/>
                <w:highlight w:val="none"/>
                <w14:textFill>
                  <w14:solidFill>
                    <w14:schemeClr w14:val="tx1"/>
                  </w14:solidFill>
                </w14:textFill>
              </w:rPr>
              <w:t>、</w:t>
            </w:r>
            <w:r>
              <w:rPr>
                <w:rFonts w:hint="eastAsia" w:ascii="宋体" w:hAnsi="宋体" w:cs="宋体"/>
                <w:bCs/>
                <w:color w:val="000000" w:themeColor="text1"/>
                <w:kern w:val="0"/>
                <w:sz w:val="21"/>
                <w:szCs w:val="21"/>
                <w:highlight w:val="none"/>
                <w14:textFill>
                  <w14:solidFill>
                    <w14:schemeClr w14:val="tx1"/>
                  </w14:solidFill>
                </w14:textFill>
              </w:rPr>
              <w:t>竞</w:t>
            </w:r>
            <w:r>
              <w:rPr>
                <w:rStyle w:val="27"/>
                <w:rFonts w:hint="default"/>
                <w:bCs/>
                <w:color w:val="000000" w:themeColor="text1"/>
                <w:highlight w:val="none"/>
                <w14:textFill>
                  <w14:solidFill>
                    <w14:schemeClr w14:val="tx1"/>
                  </w14:solidFill>
                </w14:textFill>
              </w:rPr>
              <w:t>标人按照询比文件中提供的价格清单及填写要求填写；</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2</w:t>
            </w:r>
            <w:r>
              <w:rPr>
                <w:rStyle w:val="27"/>
                <w:rFonts w:hint="default"/>
                <w:bCs/>
                <w:color w:val="000000" w:themeColor="text1"/>
                <w:highlight w:val="none"/>
                <w14:textFill>
                  <w14:solidFill>
                    <w14:schemeClr w14:val="tx1"/>
                  </w14:solidFill>
                </w14:textFill>
              </w:rPr>
              <w:t>、计价方式：采用</w:t>
            </w:r>
            <w:r>
              <w:rPr>
                <w:rStyle w:val="28"/>
                <w:rFonts w:hint="eastAsia" w:ascii="宋体" w:hAnsi="宋体" w:cs="宋体"/>
                <w:bCs/>
                <w:color w:val="000000" w:themeColor="text1"/>
                <w:highlight w:val="none"/>
                <w14:textFill>
                  <w14:solidFill>
                    <w14:schemeClr w14:val="tx1"/>
                  </w14:solidFill>
                </w14:textFill>
              </w:rPr>
              <w:t xml:space="preserve"> 综合单价</w:t>
            </w:r>
            <w:r>
              <w:rPr>
                <w:rStyle w:val="29"/>
                <w:rFonts w:hint="eastAsia" w:ascii="宋体" w:hAnsi="宋体" w:cs="宋体"/>
                <w:bCs/>
                <w:color w:val="000000" w:themeColor="text1"/>
                <w:highlight w:val="none"/>
                <w14:textFill>
                  <w14:solidFill>
                    <w14:schemeClr w14:val="tx1"/>
                  </w14:solidFill>
                </w14:textFill>
              </w:rPr>
              <w:t>报价法；本合同为</w:t>
            </w:r>
            <w:r>
              <w:rPr>
                <w:rStyle w:val="28"/>
                <w:rFonts w:hint="eastAsia" w:ascii="宋体" w:hAnsi="宋体" w:cs="宋体"/>
                <w:bCs/>
                <w:color w:val="000000" w:themeColor="text1"/>
                <w:highlight w:val="none"/>
                <w14:textFill>
                  <w14:solidFill>
                    <w14:schemeClr w14:val="tx1"/>
                  </w14:solidFill>
                </w14:textFill>
              </w:rPr>
              <w:t xml:space="preserve"> 固定单价 </w:t>
            </w:r>
            <w:r>
              <w:rPr>
                <w:rStyle w:val="29"/>
                <w:rFonts w:hint="eastAsia" w:ascii="宋体" w:hAnsi="宋体" w:cs="宋体"/>
                <w:bCs/>
                <w:color w:val="000000" w:themeColor="text1"/>
                <w:highlight w:val="none"/>
                <w14:textFill>
                  <w14:solidFill>
                    <w14:schemeClr w14:val="tx1"/>
                  </w14:solidFill>
                </w14:textFill>
              </w:rPr>
              <w:t>合同。</w:t>
            </w:r>
          </w:p>
          <w:p>
            <w:pP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3</w:t>
            </w:r>
            <w:r>
              <w:rPr>
                <w:rStyle w:val="27"/>
                <w:rFonts w:hint="default"/>
                <w:bCs/>
                <w:color w:val="000000" w:themeColor="text1"/>
                <w:highlight w:val="none"/>
                <w14:textFill>
                  <w14:solidFill>
                    <w14:schemeClr w14:val="tx1"/>
                  </w14:solidFill>
                </w14:textFill>
              </w:rPr>
              <w:t>、综合单价为等全部内容；</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竞标有效期</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自竞标人提交响应文件截止之日起计算</w:t>
            </w:r>
            <w:r>
              <w:rPr>
                <w:rStyle w:val="26"/>
                <w:rFonts w:hint="eastAsia" w:ascii="宋体" w:hAnsi="宋体" w:cs="宋体"/>
                <w:bCs/>
                <w:color w:val="000000" w:themeColor="text1"/>
                <w:sz w:val="21"/>
                <w:szCs w:val="21"/>
                <w:highlight w:val="none"/>
                <w14:textFill>
                  <w14:solidFill>
                    <w14:schemeClr w14:val="tx1"/>
                  </w14:solidFill>
                </w14:textFill>
              </w:rPr>
              <w:t>90</w:t>
            </w:r>
            <w:r>
              <w:rPr>
                <w:rStyle w:val="30"/>
                <w:rFonts w:hint="default"/>
                <w:bCs/>
                <w:color w:val="000000" w:themeColor="text1"/>
                <w:sz w:val="21"/>
                <w:szCs w:val="21"/>
                <w:highlight w:val="none"/>
                <w14:textFill>
                  <w14:solidFill>
                    <w14:schemeClr w14:val="tx1"/>
                  </w14:solidFill>
                </w14:textFill>
              </w:rPr>
              <w:t>天</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竞标保证金</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default" w:ascii="宋体" w:hAnsi="宋体" w:eastAsia="宋体" w:cs="宋体"/>
                <w:bCs/>
                <w:color w:val="000000" w:themeColor="text1"/>
                <w:sz w:val="21"/>
                <w:szCs w:val="21"/>
                <w:highlight w:val="none"/>
                <w:lang w:val="en-US" w:eastAsia="zh-CN"/>
                <w14:textFill>
                  <w14:solidFill>
                    <w14:schemeClr w14:val="tx1"/>
                  </w14:solidFill>
                </w14:textFill>
              </w:rPr>
            </w:pPr>
            <w:r>
              <w:rPr>
                <w:rFonts w:hint="default" w:ascii="宋体" w:hAnsi="宋体" w:cs="宋体"/>
                <w:bCs/>
                <w:color w:val="000000" w:themeColor="text1"/>
                <w:kern w:val="0"/>
                <w:sz w:val="21"/>
                <w:szCs w:val="21"/>
                <w:highlight w:val="none"/>
                <w:lang w:val="en-US"/>
                <w14:textFill>
                  <w14:solidFill>
                    <w14:schemeClr w14:val="tx1"/>
                  </w14:solidFill>
                </w14:textFill>
              </w:rPr>
              <w:t>18000.00</w:t>
            </w:r>
            <w:r>
              <w:rPr>
                <w:rFonts w:hint="eastAsia" w:ascii="宋体" w:hAnsi="宋体" w:cs="宋体"/>
                <w:bCs/>
                <w:color w:val="000000" w:themeColor="text1"/>
                <w:kern w:val="0"/>
                <w:sz w:val="21"/>
                <w:szCs w:val="21"/>
                <w:highlight w:val="none"/>
                <w:lang w:val="en-US" w:eastAsia="zh-CN"/>
                <w14:textFill>
                  <w14:solidFill>
                    <w14:schemeClr w14:val="tx1"/>
                  </w14:solidFill>
                </w14:textFill>
              </w:rPr>
              <w:t>元</w:t>
            </w:r>
          </w:p>
        </w:tc>
      </w:tr>
      <w:tr>
        <w:tblPrEx>
          <w:tblCellMar>
            <w:top w:w="15" w:type="dxa"/>
            <w:left w:w="15" w:type="dxa"/>
            <w:bottom w:w="15" w:type="dxa"/>
            <w:right w:w="15" w:type="dxa"/>
          </w:tblCellMar>
        </w:tblPrEx>
        <w:trPr>
          <w:trHeight w:val="60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其他可以不予退还竞标保证金的情形</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资格审查资料的特殊要求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无</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有，具体要求：</w:t>
            </w:r>
          </w:p>
        </w:tc>
      </w:tr>
      <w:tr>
        <w:tblPrEx>
          <w:tblCellMar>
            <w:top w:w="15" w:type="dxa"/>
            <w:left w:w="15" w:type="dxa"/>
            <w:bottom w:w="15" w:type="dxa"/>
            <w:right w:w="15" w:type="dxa"/>
          </w:tblCellMar>
        </w:tblPrEx>
        <w:trPr>
          <w:trHeight w:val="57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近年完成的类似项目情况的时间要求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u w:val="single"/>
                <w14:textFill>
                  <w14:solidFill>
                    <w14:schemeClr w14:val="tx1"/>
                  </w14:solidFill>
                </w14:textFill>
              </w:rPr>
            </w:pPr>
            <w:r>
              <w:rPr>
                <w:rFonts w:hint="eastAsia" w:ascii="宋体" w:hAnsi="宋体" w:cs="宋体"/>
                <w:bCs/>
                <w:color w:val="000000" w:themeColor="text1"/>
                <w:kern w:val="0"/>
                <w:sz w:val="21"/>
                <w:szCs w:val="21"/>
                <w:highlight w:val="none"/>
                <w:u w:val="single"/>
                <w14:textFill>
                  <w14:solidFill>
                    <w14:schemeClr w14:val="tx1"/>
                  </w14:solidFill>
                </w14:textFill>
              </w:rPr>
              <w:t>2016年1月1日至今</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是否允许递交备选竞标方案</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不允许</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允许</w:t>
            </w:r>
          </w:p>
        </w:tc>
      </w:tr>
      <w:tr>
        <w:tblPrEx>
          <w:tblCellMar>
            <w:top w:w="15" w:type="dxa"/>
            <w:left w:w="15" w:type="dxa"/>
            <w:bottom w:w="15" w:type="dxa"/>
            <w:right w:w="15" w:type="dxa"/>
          </w:tblCellMar>
        </w:tblPrEx>
        <w:trPr>
          <w:trHeight w:val="630"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响应文件副本份数及其他要求</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Style w:val="30"/>
                <w:rFonts w:hint="default"/>
                <w:bCs/>
                <w:color w:val="000000" w:themeColor="text1"/>
                <w:sz w:val="21"/>
                <w:szCs w:val="21"/>
                <w:highlight w:val="none"/>
                <w14:textFill>
                  <w14:solidFill>
                    <w14:schemeClr w14:val="tx1"/>
                  </w14:solidFill>
                </w14:textFill>
              </w:rPr>
              <w:t>响应文件正本份数：</w:t>
            </w:r>
            <w:r>
              <w:rPr>
                <w:rStyle w:val="25"/>
                <w:rFonts w:hint="eastAsia" w:ascii="宋体" w:hAnsi="宋体" w:cs="宋体"/>
                <w:bCs/>
                <w:color w:val="000000" w:themeColor="text1"/>
                <w:sz w:val="21"/>
                <w:szCs w:val="21"/>
                <w:highlight w:val="none"/>
                <w14:textFill>
                  <w14:solidFill>
                    <w14:schemeClr w14:val="tx1"/>
                  </w14:solidFill>
                </w14:textFill>
              </w:rPr>
              <w:t>1</w:t>
            </w:r>
            <w:r>
              <w:rPr>
                <w:rStyle w:val="30"/>
                <w:rFonts w:hint="default"/>
                <w:bCs/>
                <w:color w:val="000000" w:themeColor="text1"/>
                <w:sz w:val="21"/>
                <w:szCs w:val="21"/>
                <w:highlight w:val="none"/>
                <w14:textFill>
                  <w14:solidFill>
                    <w14:schemeClr w14:val="tx1"/>
                  </w14:solidFill>
                </w14:textFill>
              </w:rPr>
              <w:t>份</w:t>
            </w:r>
            <w:r>
              <w:rPr>
                <w:rStyle w:val="31"/>
                <w:rFonts w:hint="default"/>
                <w:b w:val="0"/>
                <w:bCs/>
                <w:color w:val="000000" w:themeColor="text1"/>
                <w:sz w:val="21"/>
                <w:szCs w:val="21"/>
                <w:highlight w:val="none"/>
                <w14:textFill>
                  <w14:solidFill>
                    <w14:schemeClr w14:val="tx1"/>
                  </w14:solidFill>
                </w14:textFill>
              </w:rPr>
              <w:t>。中标单位在中标后各补充副本</w:t>
            </w:r>
            <w:r>
              <w:rPr>
                <w:rStyle w:val="32"/>
                <w:rFonts w:hint="eastAsia" w:ascii="宋体" w:hAnsi="宋体" w:cs="宋体"/>
                <w:b w:val="0"/>
                <w:bCs/>
                <w:color w:val="000000" w:themeColor="text1"/>
                <w:sz w:val="21"/>
                <w:szCs w:val="21"/>
                <w:highlight w:val="none"/>
                <w14:textFill>
                  <w14:solidFill>
                    <w14:schemeClr w14:val="tx1"/>
                  </w14:solidFill>
                </w14:textFill>
              </w:rPr>
              <w:t>1</w:t>
            </w:r>
            <w:r>
              <w:rPr>
                <w:rStyle w:val="31"/>
                <w:rFonts w:hint="default"/>
                <w:b w:val="0"/>
                <w:bCs/>
                <w:color w:val="000000" w:themeColor="text1"/>
                <w:sz w:val="21"/>
                <w:szCs w:val="21"/>
                <w:highlight w:val="none"/>
                <w14:textFill>
                  <w14:solidFill>
                    <w14:schemeClr w14:val="tx1"/>
                  </w14:solidFill>
                </w14:textFill>
              </w:rPr>
              <w:t>份。</w:t>
            </w:r>
          </w:p>
        </w:tc>
      </w:tr>
      <w:tr>
        <w:tblPrEx>
          <w:tblCellMar>
            <w:top w:w="15" w:type="dxa"/>
            <w:left w:w="15" w:type="dxa"/>
            <w:bottom w:w="15" w:type="dxa"/>
            <w:right w:w="15" w:type="dxa"/>
          </w:tblCellMar>
        </w:tblPrEx>
        <w:trPr>
          <w:trHeight w:val="90"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是否要求提交电子版文件：</w:t>
            </w:r>
            <w:r>
              <w:rPr>
                <w:rStyle w:val="33"/>
                <w:rFonts w:hint="eastAsia" w:ascii="宋体" w:hAnsi="宋体" w:cs="宋体"/>
                <w:b w:val="0"/>
                <w:bCs/>
                <w:color w:val="000000" w:themeColor="text1"/>
                <w:sz w:val="21"/>
                <w:szCs w:val="21"/>
                <w:highlight w:val="none"/>
                <w:u w:val="none"/>
                <w14:textFill>
                  <w14:solidFill>
                    <w14:schemeClr w14:val="tx1"/>
                  </w14:solidFill>
                </w14:textFill>
              </w:rPr>
              <w:t>是</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其他要求：/</w:t>
            </w:r>
          </w:p>
        </w:tc>
      </w:tr>
      <w:tr>
        <w:tblPrEx>
          <w:tblCellMar>
            <w:top w:w="15" w:type="dxa"/>
            <w:left w:w="15" w:type="dxa"/>
            <w:bottom w:w="15" w:type="dxa"/>
            <w:right w:w="15" w:type="dxa"/>
          </w:tblCellMar>
        </w:tblPrEx>
        <w:trPr>
          <w:trHeight w:val="34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响应文件是否需分册装订</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不需要</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需要，分册装订要求：</w:t>
            </w:r>
          </w:p>
        </w:tc>
      </w:tr>
      <w:tr>
        <w:tblPrEx>
          <w:tblCellMar>
            <w:top w:w="15" w:type="dxa"/>
            <w:left w:w="15" w:type="dxa"/>
            <w:bottom w:w="15" w:type="dxa"/>
            <w:right w:w="15" w:type="dxa"/>
          </w:tblCellMar>
        </w:tblPrEx>
        <w:trPr>
          <w:trHeight w:val="564" w:hRule="atLeast"/>
        </w:trPr>
        <w:tc>
          <w:tcPr>
            <w:tcW w:w="2850" w:type="dxa"/>
            <w:tcBorders>
              <w:top w:val="single" w:color="000000" w:sz="4" w:space="0"/>
              <w:left w:val="single" w:color="000000" w:sz="4" w:space="0"/>
              <w:bottom w:val="single" w:color="000000" w:sz="4" w:space="0"/>
              <w:right w:val="single" w:color="000000" w:sz="4" w:space="0"/>
            </w:tcBorders>
          </w:tcPr>
          <w:p>
            <w:pPr>
              <w:pStyle w:val="34"/>
              <w:ind w:left="147" w:right="141"/>
              <w:jc w:val="center"/>
              <w:rPr>
                <w:bCs/>
                <w:color w:val="000000" w:themeColor="text1"/>
                <w:sz w:val="21"/>
                <w:szCs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封套上应载明的信息</w:t>
            </w:r>
          </w:p>
        </w:tc>
        <w:tc>
          <w:tcPr>
            <w:tcW w:w="6663" w:type="dxa"/>
            <w:tcBorders>
              <w:top w:val="single" w:color="000000" w:sz="4" w:space="0"/>
              <w:left w:val="single" w:color="000000" w:sz="4" w:space="0"/>
              <w:bottom w:val="single" w:color="000000" w:sz="4" w:space="0"/>
              <w:right w:val="single" w:color="000000" w:sz="4" w:space="0"/>
            </w:tcBorders>
          </w:tcPr>
          <w:p>
            <w:pPr>
              <w:pStyle w:val="34"/>
              <w:tabs>
                <w:tab w:val="left" w:pos="739"/>
                <w:tab w:val="left" w:pos="1370"/>
                <w:tab w:val="left" w:pos="1999"/>
                <w:tab w:val="left" w:pos="2627"/>
              </w:tabs>
              <w:snapToGrid w:val="0"/>
              <w:rPr>
                <w:rFonts w:hint="eastAsia" w:eastAsia="宋体"/>
                <w:bCs/>
                <w:color w:val="000000" w:themeColor="text1"/>
                <w:kern w:val="0"/>
                <w:sz w:val="21"/>
                <w:szCs w:val="21"/>
                <w:highlight w:val="none"/>
                <w:lang w:val="en-US" w:eastAsia="zh-CN"/>
                <w14:textFill>
                  <w14:solidFill>
                    <w14:schemeClr w14:val="tx1"/>
                  </w14:solidFill>
                </w14:textFill>
              </w:rPr>
            </w:pPr>
            <w:r>
              <w:rPr>
                <w:rFonts w:hint="eastAsia"/>
                <w:bCs/>
                <w:color w:val="000000" w:themeColor="text1"/>
                <w:kern w:val="0"/>
                <w:sz w:val="21"/>
                <w:szCs w:val="21"/>
                <w:highlight w:val="none"/>
                <w:lang w:val="en-US"/>
                <w14:textFill>
                  <w14:solidFill>
                    <w14:schemeClr w14:val="tx1"/>
                  </w14:solidFill>
                </w14:textFill>
              </w:rPr>
              <w:t>项目名称：</w:t>
            </w:r>
            <w:r>
              <w:rPr>
                <w:rFonts w:hint="eastAsia"/>
                <w:bCs/>
                <w:color w:val="000000" w:themeColor="text1"/>
                <w:kern w:val="0"/>
                <w:sz w:val="21"/>
                <w:szCs w:val="21"/>
                <w:highlight w:val="none"/>
                <w:lang w:val="en-US" w:eastAsia="zh-CN"/>
                <w14:textFill>
                  <w14:solidFill>
                    <w14:schemeClr w14:val="tx1"/>
                  </w14:solidFill>
                </w14:textFill>
              </w:rPr>
              <w:t>2019年度驿达公司服务区便利店、客房及青年之家家具采购及安装项目（二次）</w:t>
            </w:r>
          </w:p>
          <w:p>
            <w:pPr>
              <w:pStyle w:val="34"/>
              <w:tabs>
                <w:tab w:val="left" w:pos="739"/>
                <w:tab w:val="left" w:pos="1370"/>
                <w:tab w:val="left" w:pos="1999"/>
                <w:tab w:val="left" w:pos="2627"/>
              </w:tabs>
              <w:snapToGrid w:val="0"/>
              <w:rPr>
                <w:rStyle w:val="30"/>
                <w:rFonts w:hint="default"/>
                <w:bCs/>
                <w:color w:val="000000" w:themeColor="text1"/>
                <w:kern w:val="0"/>
                <w:sz w:val="21"/>
                <w:szCs w:val="21"/>
                <w:highlight w:val="none"/>
                <w:lang w:val="en-US"/>
                <w14:textFill>
                  <w14:solidFill>
                    <w14:schemeClr w14:val="tx1"/>
                  </w14:solidFill>
                </w14:textFill>
              </w:rPr>
            </w:pPr>
            <w:r>
              <w:rPr>
                <w:rFonts w:hint="eastAsia"/>
                <w:bCs/>
                <w:color w:val="000000" w:themeColor="text1"/>
                <w:kern w:val="0"/>
                <w:sz w:val="21"/>
                <w:szCs w:val="21"/>
                <w:highlight w:val="none"/>
                <w:lang w:val="en-US"/>
                <w14:textFill>
                  <w14:solidFill>
                    <w14:schemeClr w14:val="tx1"/>
                  </w14:solidFill>
                </w14:textFill>
              </w:rPr>
              <w:t>响应文件在</w:t>
            </w:r>
            <w:r>
              <w:rPr>
                <w:rFonts w:hint="eastAsia"/>
                <w:bCs/>
                <w:color w:val="000000" w:themeColor="text1"/>
                <w:kern w:val="0"/>
                <w:sz w:val="21"/>
                <w:szCs w:val="21"/>
                <w:highlight w:val="none"/>
                <w:lang w:val="en-US" w:eastAsia="zh-CN"/>
                <w14:textFill>
                  <w14:solidFill>
                    <w14:schemeClr w14:val="tx1"/>
                  </w14:solidFill>
                </w14:textFill>
              </w:rPr>
              <w:t>2019年11月12日上午10：00</w:t>
            </w:r>
            <w:r>
              <w:rPr>
                <w:rFonts w:hint="eastAsia"/>
                <w:bCs/>
                <w:color w:val="000000" w:themeColor="text1"/>
                <w:kern w:val="0"/>
                <w:sz w:val="21"/>
                <w:szCs w:val="21"/>
                <w:highlight w:val="none"/>
                <w:lang w:val="en-US"/>
                <w14:textFill>
                  <w14:solidFill>
                    <w14:schemeClr w14:val="tx1"/>
                  </w14:solidFill>
                </w14:textFill>
              </w:rPr>
              <w:t>（竞标截止时间）前不得开启</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竞标截止时间</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同询比公告</w:t>
            </w:r>
          </w:p>
        </w:tc>
      </w:tr>
      <w:tr>
        <w:tblPrEx>
          <w:tblCellMar>
            <w:top w:w="15" w:type="dxa"/>
            <w:left w:w="15" w:type="dxa"/>
            <w:bottom w:w="15" w:type="dxa"/>
            <w:right w:w="15" w:type="dxa"/>
          </w:tblCellMar>
        </w:tblPrEx>
        <w:trPr>
          <w:trHeight w:val="3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递交响应文件地点</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同询比公告</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响应文件是否退还</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否</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是，退还时间：/</w:t>
            </w:r>
          </w:p>
        </w:tc>
      </w:tr>
      <w:tr>
        <w:tblPrEx>
          <w:tblCellMar>
            <w:top w:w="15" w:type="dxa"/>
            <w:left w:w="15" w:type="dxa"/>
            <w:bottom w:w="15" w:type="dxa"/>
            <w:right w:w="15" w:type="dxa"/>
          </w:tblCellMar>
        </w:tblPrEx>
        <w:trPr>
          <w:trHeight w:val="915" w:hRule="atLeast"/>
        </w:trPr>
        <w:tc>
          <w:tcPr>
            <w:tcW w:w="2850" w:type="dxa"/>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开标时间和地点</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响应文件</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开标时间：</w:t>
            </w:r>
            <w:r>
              <w:rPr>
                <w:rStyle w:val="26"/>
                <w:rFonts w:hint="eastAsia" w:ascii="宋体" w:hAnsi="宋体" w:cs="宋体"/>
                <w:bCs/>
                <w:color w:val="000000" w:themeColor="text1"/>
                <w:sz w:val="21"/>
                <w:szCs w:val="21"/>
                <w:highlight w:val="none"/>
                <w14:textFill>
                  <w14:solidFill>
                    <w14:schemeClr w14:val="tx1"/>
                  </w14:solidFill>
                </w14:textFill>
              </w:rPr>
              <w:t>同竞标截止时间</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开标地点：</w:t>
            </w:r>
            <w:r>
              <w:rPr>
                <w:rStyle w:val="26"/>
                <w:rFonts w:hint="eastAsia" w:ascii="宋体" w:hAnsi="宋体" w:cs="宋体"/>
                <w:bCs/>
                <w:color w:val="000000" w:themeColor="text1"/>
                <w:sz w:val="21"/>
                <w:szCs w:val="21"/>
                <w:highlight w:val="none"/>
                <w14:textFill>
                  <w14:solidFill>
                    <w14:schemeClr w14:val="tx1"/>
                  </w14:solidFill>
                </w14:textFill>
              </w:rPr>
              <w:t>同递交响应文件地点</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开标程序</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（1</w:t>
            </w:r>
            <w:r>
              <w:rPr>
                <w:rStyle w:val="30"/>
                <w:rFonts w:hint="default"/>
                <w:bCs/>
                <w:color w:val="000000" w:themeColor="text1"/>
                <w:sz w:val="21"/>
                <w:szCs w:val="21"/>
                <w:highlight w:val="none"/>
                <w14:textFill>
                  <w14:solidFill>
                    <w14:schemeClr w14:val="tx1"/>
                  </w14:solidFill>
                </w14:textFill>
              </w:rPr>
              <w:t>）密封情况检查：</w:t>
            </w:r>
            <w:r>
              <w:rPr>
                <w:rStyle w:val="26"/>
                <w:rFonts w:hint="eastAsia" w:ascii="宋体" w:hAnsi="宋体" w:cs="宋体"/>
                <w:bCs/>
                <w:color w:val="000000" w:themeColor="text1"/>
                <w:sz w:val="21"/>
                <w:szCs w:val="21"/>
                <w:highlight w:val="none"/>
                <w14:textFill>
                  <w14:solidFill>
                    <w14:schemeClr w14:val="tx1"/>
                  </w14:solidFill>
                </w14:textFill>
              </w:rPr>
              <w:t>竞标单位代表</w:t>
            </w:r>
          </w:p>
        </w:tc>
      </w:tr>
      <w:tr>
        <w:tblPrEx>
          <w:tblCellMar>
            <w:top w:w="15" w:type="dxa"/>
            <w:left w:w="15" w:type="dxa"/>
            <w:bottom w:w="15" w:type="dxa"/>
            <w:right w:w="15" w:type="dxa"/>
          </w:tblCellMar>
        </w:tblPrEx>
        <w:trPr>
          <w:trHeight w:val="315" w:hRule="atLeast"/>
        </w:trPr>
        <w:tc>
          <w:tcPr>
            <w:tcW w:w="2850" w:type="dxa"/>
            <w:vMerge w:val="continue"/>
            <w:tcBorders>
              <w:left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（2</w:t>
            </w:r>
            <w:r>
              <w:rPr>
                <w:rStyle w:val="30"/>
                <w:rFonts w:hint="default"/>
                <w:bCs/>
                <w:color w:val="000000" w:themeColor="text1"/>
                <w:sz w:val="21"/>
                <w:szCs w:val="21"/>
                <w:highlight w:val="none"/>
                <w14:textFill>
                  <w14:solidFill>
                    <w14:schemeClr w14:val="tx1"/>
                  </w14:solidFill>
                </w14:textFill>
              </w:rPr>
              <w:t>）开标顺序：</w:t>
            </w:r>
            <w:r>
              <w:rPr>
                <w:rStyle w:val="26"/>
                <w:rFonts w:hint="eastAsia" w:ascii="宋体" w:hAnsi="宋体" w:cs="宋体"/>
                <w:bCs/>
                <w:color w:val="000000" w:themeColor="text1"/>
                <w:sz w:val="21"/>
                <w:szCs w:val="21"/>
                <w:highlight w:val="none"/>
                <w14:textFill>
                  <w14:solidFill>
                    <w14:schemeClr w14:val="tx1"/>
                  </w14:solidFill>
                </w14:textFill>
              </w:rPr>
              <w:t>随机</w:t>
            </w:r>
          </w:p>
        </w:tc>
      </w:tr>
      <w:tr>
        <w:tblPrEx>
          <w:tblCellMar>
            <w:top w:w="15" w:type="dxa"/>
            <w:left w:w="15" w:type="dxa"/>
            <w:bottom w:w="15" w:type="dxa"/>
            <w:right w:w="15" w:type="dxa"/>
          </w:tblCellMar>
        </w:tblPrEx>
        <w:trPr>
          <w:trHeight w:val="9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Cs/>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开标过程中</w:t>
            </w:r>
            <w:r>
              <w:rPr>
                <w:rFonts w:hint="eastAsia" w:ascii="宋体" w:hAnsi="宋体"/>
                <w:color w:val="000000" w:themeColor="text1"/>
                <w:sz w:val="21"/>
                <w:szCs w:val="21"/>
                <w:highlight w:val="none"/>
                <w14:textFill>
                  <w14:solidFill>
                    <w14:schemeClr w14:val="tx1"/>
                  </w14:solidFill>
                </w14:textFill>
              </w:rPr>
              <w:t>，</w:t>
            </w:r>
            <w:r>
              <w:rPr>
                <w:rFonts w:hint="eastAsia" w:ascii="宋体" w:hAnsi="宋体" w:cs="宋体"/>
                <w:bCs/>
                <w:color w:val="000000" w:themeColor="text1"/>
                <w:kern w:val="0"/>
                <w:sz w:val="21"/>
                <w:szCs w:val="21"/>
                <w:highlight w:val="none"/>
                <w14:textFill>
                  <w14:solidFill>
                    <w14:schemeClr w14:val="tx1"/>
                  </w14:solidFill>
                </w14:textFill>
              </w:rPr>
              <w:t>竞</w:t>
            </w:r>
            <w:r>
              <w:rPr>
                <w:rFonts w:ascii="宋体" w:hAnsi="宋体"/>
                <w:color w:val="000000" w:themeColor="text1"/>
                <w:sz w:val="21"/>
                <w:szCs w:val="21"/>
                <w:highlight w:val="none"/>
                <w14:textFill>
                  <w14:solidFill>
                    <w14:schemeClr w14:val="tx1"/>
                  </w14:solidFill>
                </w14:textFill>
              </w:rPr>
              <w:t>标报价不参加评标基准价的计算的情况</w:t>
            </w:r>
          </w:p>
        </w:tc>
        <w:tc>
          <w:tcPr>
            <w:tcW w:w="6663"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文末增加：</w:t>
            </w:r>
          </w:p>
          <w:p>
            <w:pPr>
              <w:rPr>
                <w:rFonts w:ascii="宋体" w:hAnsi="宋体" w:cs="宋体"/>
                <w:bCs/>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（5）</w:t>
            </w:r>
            <w:r>
              <w:rPr>
                <w:rFonts w:hint="eastAsia" w:ascii="宋体" w:hAnsi="宋体" w:cs="宋体"/>
                <w:bCs/>
                <w:color w:val="000000" w:themeColor="text1"/>
                <w:kern w:val="0"/>
                <w:sz w:val="21"/>
                <w:szCs w:val="21"/>
                <w:highlight w:val="none"/>
                <w14:textFill>
                  <w14:solidFill>
                    <w14:schemeClr w14:val="tx1"/>
                  </w14:solidFill>
                </w14:textFill>
              </w:rPr>
              <w:t>竞</w:t>
            </w:r>
            <w:r>
              <w:rPr>
                <w:rFonts w:ascii="宋体" w:hAnsi="宋体"/>
                <w:color w:val="000000" w:themeColor="text1"/>
                <w:sz w:val="21"/>
                <w:szCs w:val="21"/>
                <w:highlight w:val="none"/>
                <w14:textFill>
                  <w14:solidFill>
                    <w14:schemeClr w14:val="tx1"/>
                  </w14:solidFill>
                </w14:textFill>
              </w:rPr>
              <w:t>标</w:t>
            </w:r>
            <w:r>
              <w:rPr>
                <w:rFonts w:hint="eastAsia" w:ascii="宋体" w:hAnsi="宋体"/>
                <w:color w:val="000000" w:themeColor="text1"/>
                <w:sz w:val="21"/>
                <w:szCs w:val="21"/>
                <w:highlight w:val="none"/>
                <w14:textFill>
                  <w14:solidFill>
                    <w14:schemeClr w14:val="tx1"/>
                  </w14:solidFill>
                </w14:textFill>
              </w:rPr>
              <w:t>报价</w:t>
            </w:r>
            <w:r>
              <w:rPr>
                <w:rFonts w:ascii="宋体" w:hAnsi="宋体"/>
                <w:color w:val="000000" w:themeColor="text1"/>
                <w:sz w:val="21"/>
                <w:szCs w:val="21"/>
                <w:highlight w:val="none"/>
                <w14:textFill>
                  <w14:solidFill>
                    <w14:schemeClr w14:val="tx1"/>
                  </w14:solidFill>
                </w14:textFill>
              </w:rPr>
              <w:t>函大写金额报价与</w:t>
            </w:r>
            <w:r>
              <w:rPr>
                <w:rFonts w:hint="eastAsia" w:ascii="宋体" w:hAnsi="宋体"/>
                <w:color w:val="000000" w:themeColor="text1"/>
                <w:sz w:val="21"/>
                <w:szCs w:val="21"/>
                <w:highlight w:val="none"/>
                <w14:textFill>
                  <w14:solidFill>
                    <w14:schemeClr w14:val="tx1"/>
                  </w14:solidFill>
                </w14:textFill>
              </w:rPr>
              <w:t>分项报价表</w:t>
            </w:r>
            <w:r>
              <w:rPr>
                <w:rFonts w:ascii="宋体" w:hAnsi="宋体"/>
                <w:color w:val="000000" w:themeColor="text1"/>
                <w:sz w:val="21"/>
                <w:szCs w:val="21"/>
                <w:highlight w:val="none"/>
                <w14:textFill>
                  <w14:solidFill>
                    <w14:schemeClr w14:val="tx1"/>
                  </w14:solidFill>
                </w14:textFill>
              </w:rPr>
              <w:t>中的</w:t>
            </w:r>
            <w:r>
              <w:rPr>
                <w:rFonts w:hint="eastAsia" w:ascii="宋体" w:hAnsi="宋体" w:cs="宋体"/>
                <w:bCs/>
                <w:color w:val="000000" w:themeColor="text1"/>
                <w:kern w:val="0"/>
                <w:sz w:val="21"/>
                <w:szCs w:val="21"/>
                <w:highlight w:val="none"/>
                <w14:textFill>
                  <w14:solidFill>
                    <w14:schemeClr w14:val="tx1"/>
                  </w14:solidFill>
                </w14:textFill>
              </w:rPr>
              <w:t>竞</w:t>
            </w:r>
            <w:r>
              <w:rPr>
                <w:rFonts w:ascii="宋体" w:hAnsi="宋体"/>
                <w:color w:val="000000" w:themeColor="text1"/>
                <w:sz w:val="21"/>
                <w:szCs w:val="21"/>
                <w:highlight w:val="none"/>
                <w14:textFill>
                  <w14:solidFill>
                    <w14:schemeClr w14:val="tx1"/>
                  </w14:solidFill>
                </w14:textFill>
              </w:rPr>
              <w:t>标报价不一致，由四舍五入引起的除外。</w:t>
            </w:r>
          </w:p>
        </w:tc>
      </w:tr>
      <w:tr>
        <w:tblPrEx>
          <w:tblCellMar>
            <w:top w:w="15" w:type="dxa"/>
            <w:left w:w="15" w:type="dxa"/>
            <w:bottom w:w="15" w:type="dxa"/>
            <w:right w:w="15" w:type="dxa"/>
          </w:tblCellMar>
        </w:tblPrEx>
        <w:trPr>
          <w:trHeight w:val="523"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评审小组的组建</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评审小组构成：</w:t>
            </w:r>
            <w:r>
              <w:rPr>
                <w:rStyle w:val="26"/>
                <w:rFonts w:ascii="宋体" w:hAnsi="宋体" w:cs="宋体"/>
                <w:bCs/>
                <w:color w:val="000000" w:themeColor="text1"/>
                <w:sz w:val="21"/>
                <w:szCs w:val="21"/>
                <w:highlight w:val="none"/>
                <w14:textFill>
                  <w14:solidFill>
                    <w14:schemeClr w14:val="tx1"/>
                  </w14:solidFill>
                </w14:textFill>
              </w:rPr>
              <w:t>5</w:t>
            </w:r>
            <w:r>
              <w:rPr>
                <w:rStyle w:val="25"/>
                <w:rFonts w:hint="eastAsia" w:ascii="宋体" w:hAnsi="宋体" w:cs="宋体"/>
                <w:bCs/>
                <w:color w:val="000000" w:themeColor="text1"/>
                <w:sz w:val="21"/>
                <w:szCs w:val="21"/>
                <w:highlight w:val="none"/>
                <w14:textFill>
                  <w14:solidFill>
                    <w14:schemeClr w14:val="tx1"/>
                  </w14:solidFill>
                </w14:textFill>
              </w:rPr>
              <w:t>人</w:t>
            </w:r>
          </w:p>
        </w:tc>
      </w:tr>
      <w:tr>
        <w:tblPrEx>
          <w:tblCellMar>
            <w:top w:w="15" w:type="dxa"/>
            <w:left w:w="15" w:type="dxa"/>
            <w:bottom w:w="15" w:type="dxa"/>
            <w:right w:w="15" w:type="dxa"/>
          </w:tblCellMar>
        </w:tblPrEx>
        <w:trPr>
          <w:trHeight w:val="500"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评审小组推荐中标候选人的人数</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ascii="宋体" w:hAnsi="宋体" w:cs="宋体"/>
                <w:bCs/>
                <w:color w:val="000000" w:themeColor="text1"/>
                <w:kern w:val="0"/>
                <w:sz w:val="21"/>
                <w:szCs w:val="21"/>
                <w:highlight w:val="none"/>
                <w14:textFill>
                  <w14:solidFill>
                    <w14:schemeClr w14:val="tx1"/>
                  </w14:solidFill>
                </w14:textFill>
              </w:rPr>
              <w:t>1-</w:t>
            </w:r>
            <w:r>
              <w:rPr>
                <w:rFonts w:hint="eastAsia" w:ascii="宋体" w:hAnsi="宋体" w:cs="宋体"/>
                <w:bCs/>
                <w:color w:val="000000" w:themeColor="text1"/>
                <w:kern w:val="0"/>
                <w:sz w:val="21"/>
                <w:szCs w:val="21"/>
                <w:highlight w:val="none"/>
                <w14:textFill>
                  <w14:solidFill>
                    <w14:schemeClr w14:val="tx1"/>
                  </w14:solidFill>
                </w14:textFill>
              </w:rPr>
              <w:t>3</w:t>
            </w:r>
            <w:r>
              <w:rPr>
                <w:rStyle w:val="30"/>
                <w:rFonts w:hint="default"/>
                <w:bCs/>
                <w:color w:val="000000" w:themeColor="text1"/>
                <w:sz w:val="21"/>
                <w:szCs w:val="21"/>
                <w:highlight w:val="none"/>
                <w14:textFill>
                  <w14:solidFill>
                    <w14:schemeClr w14:val="tx1"/>
                  </w14:solidFill>
                </w14:textFill>
              </w:rPr>
              <w:t>名</w:t>
            </w:r>
          </w:p>
        </w:tc>
      </w:tr>
      <w:tr>
        <w:tblPrEx>
          <w:tblCellMar>
            <w:top w:w="15" w:type="dxa"/>
            <w:left w:w="15" w:type="dxa"/>
            <w:bottom w:w="15" w:type="dxa"/>
            <w:right w:w="15" w:type="dxa"/>
          </w:tblCellMar>
        </w:tblPrEx>
        <w:trPr>
          <w:trHeight w:val="915"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中标候选人公示媒介及期限</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公示媒介：安徽省</w:t>
            </w:r>
            <w:r>
              <w:rPr>
                <w:rFonts w:ascii="宋体" w:hAnsi="宋体" w:cs="宋体"/>
                <w:bCs/>
                <w:color w:val="000000" w:themeColor="text1"/>
                <w:kern w:val="0"/>
                <w:sz w:val="21"/>
                <w:szCs w:val="21"/>
                <w:highlight w:val="none"/>
                <w14:textFill>
                  <w14:solidFill>
                    <w14:schemeClr w14:val="tx1"/>
                  </w14:solidFill>
                </w14:textFill>
              </w:rPr>
              <w:t>驿达高速公路服务区经营管理有限公司</w:t>
            </w:r>
          </w:p>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公示期限：</w:t>
            </w:r>
            <w:r>
              <w:rPr>
                <w:rStyle w:val="26"/>
                <w:rFonts w:ascii="宋体" w:hAnsi="宋体" w:cs="宋体"/>
                <w:bCs/>
                <w:color w:val="000000" w:themeColor="text1"/>
                <w:sz w:val="21"/>
                <w:szCs w:val="21"/>
                <w:highlight w:val="none"/>
                <w14:textFill>
                  <w14:solidFill>
                    <w14:schemeClr w14:val="tx1"/>
                  </w14:solidFill>
                </w14:textFill>
              </w:rPr>
              <w:t>2</w:t>
            </w:r>
            <w:r>
              <w:rPr>
                <w:rStyle w:val="25"/>
                <w:rFonts w:hint="eastAsia" w:ascii="宋体" w:hAnsi="宋体" w:cs="宋体"/>
                <w:bCs/>
                <w:color w:val="000000" w:themeColor="text1"/>
                <w:sz w:val="21"/>
                <w:szCs w:val="21"/>
                <w:highlight w:val="none"/>
                <w14:textFill>
                  <w14:solidFill>
                    <w14:schemeClr w14:val="tx1"/>
                  </w14:solidFill>
                </w14:textFill>
              </w:rPr>
              <w:t>日</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是否授权评审小组确定成交人</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否</w:t>
            </w:r>
          </w:p>
        </w:tc>
      </w:tr>
      <w:tr>
        <w:tblPrEx>
          <w:tblCellMar>
            <w:top w:w="15" w:type="dxa"/>
            <w:left w:w="15" w:type="dxa"/>
            <w:bottom w:w="15" w:type="dxa"/>
            <w:right w:w="15" w:type="dxa"/>
          </w:tblCellMar>
        </w:tblPrEx>
        <w:trPr>
          <w:trHeight w:val="268" w:hRule="atLeast"/>
        </w:trPr>
        <w:tc>
          <w:tcPr>
            <w:tcW w:w="28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履约保证金</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Style w:val="25"/>
                <w:rFonts w:hint="eastAsia" w:ascii="宋体" w:hAnsi="宋体" w:cs="宋体"/>
                <w:bCs/>
                <w:color w:val="000000" w:themeColor="text1"/>
                <w:sz w:val="21"/>
                <w:szCs w:val="21"/>
                <w:highlight w:val="none"/>
                <w14:textFill>
                  <w14:solidFill>
                    <w14:schemeClr w14:val="tx1"/>
                  </w14:solidFill>
                </w14:textFill>
              </w:rPr>
              <w:t>/</w:t>
            </w:r>
          </w:p>
        </w:tc>
      </w:tr>
      <w:tr>
        <w:tblPrEx>
          <w:tblCellMar>
            <w:top w:w="15" w:type="dxa"/>
            <w:left w:w="15" w:type="dxa"/>
            <w:bottom w:w="15" w:type="dxa"/>
            <w:right w:w="15" w:type="dxa"/>
          </w:tblCellMar>
        </w:tblPrEx>
        <w:trPr>
          <w:trHeight w:val="315" w:hRule="atLeast"/>
        </w:trPr>
        <w:tc>
          <w:tcPr>
            <w:tcW w:w="28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是否采用电子采购投标</w:t>
            </w: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否</w:t>
            </w:r>
          </w:p>
        </w:tc>
      </w:tr>
      <w:tr>
        <w:tblPrEx>
          <w:tblCellMar>
            <w:top w:w="15" w:type="dxa"/>
            <w:left w:w="15" w:type="dxa"/>
            <w:bottom w:w="15" w:type="dxa"/>
            <w:right w:w="15" w:type="dxa"/>
          </w:tblCellMar>
        </w:tblPrEx>
        <w:trPr>
          <w:trHeight w:val="315" w:hRule="atLeast"/>
        </w:trPr>
        <w:tc>
          <w:tcPr>
            <w:tcW w:w="28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Cs/>
                <w:color w:val="000000" w:themeColor="text1"/>
                <w:sz w:val="21"/>
                <w:szCs w:val="21"/>
                <w:highlight w:val="none"/>
                <w14:textFill>
                  <w14:solidFill>
                    <w14:schemeClr w14:val="tx1"/>
                  </w14:solidFill>
                </w14:textFill>
              </w:rPr>
            </w:pPr>
          </w:p>
        </w:tc>
        <w:tc>
          <w:tcPr>
            <w:tcW w:w="6663"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w:t>
            </w:r>
            <w:r>
              <w:rPr>
                <w:rStyle w:val="25"/>
                <w:rFonts w:hint="eastAsia" w:ascii="宋体" w:hAnsi="宋体" w:cs="宋体"/>
                <w:bCs/>
                <w:color w:val="000000" w:themeColor="text1"/>
                <w:sz w:val="21"/>
                <w:szCs w:val="21"/>
                <w:highlight w:val="none"/>
                <w14:textFill>
                  <w14:solidFill>
                    <w14:schemeClr w14:val="tx1"/>
                  </w14:solidFill>
                </w14:textFill>
              </w:rPr>
              <w:t>是，具体要求：/</w:t>
            </w:r>
          </w:p>
        </w:tc>
      </w:tr>
      <w:tr>
        <w:tblPrEx>
          <w:tblCellMar>
            <w:top w:w="15" w:type="dxa"/>
            <w:left w:w="15" w:type="dxa"/>
            <w:bottom w:w="15" w:type="dxa"/>
            <w:right w:w="15" w:type="dxa"/>
          </w:tblCellMar>
        </w:tblPrEx>
        <w:trPr>
          <w:trHeight w:val="315" w:hRule="atLeast"/>
        </w:trPr>
        <w:tc>
          <w:tcPr>
            <w:tcW w:w="9513" w:type="dxa"/>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需要补充的其他内容：</w:t>
            </w:r>
          </w:p>
        </w:tc>
      </w:tr>
      <w:tr>
        <w:tblPrEx>
          <w:tblCellMar>
            <w:top w:w="15" w:type="dxa"/>
            <w:left w:w="15" w:type="dxa"/>
            <w:bottom w:w="15" w:type="dxa"/>
            <w:right w:w="15" w:type="dxa"/>
          </w:tblCellMar>
        </w:tblPrEx>
        <w:trPr>
          <w:trHeight w:val="615" w:hRule="atLeast"/>
        </w:trPr>
        <w:tc>
          <w:tcPr>
            <w:tcW w:w="9513" w:type="dxa"/>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竞标人放弃中标资格，将作为不良记录纳入行业信用信息管理系统。拟投产品应符合国家相关标准及询比文件要求。</w:t>
            </w:r>
          </w:p>
        </w:tc>
      </w:tr>
      <w:tr>
        <w:tblPrEx>
          <w:tblCellMar>
            <w:top w:w="15" w:type="dxa"/>
            <w:left w:w="15" w:type="dxa"/>
            <w:bottom w:w="15" w:type="dxa"/>
            <w:right w:w="15" w:type="dxa"/>
          </w:tblCellMar>
        </w:tblPrEx>
        <w:trPr>
          <w:trHeight w:val="430"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本项目所有保险由供货商结合项目要求自行考虑承担和支付，并包含在所报的单价和总价内。</w:t>
            </w:r>
          </w:p>
        </w:tc>
      </w:tr>
      <w:tr>
        <w:tblPrEx>
          <w:tblCellMar>
            <w:top w:w="15" w:type="dxa"/>
            <w:left w:w="15" w:type="dxa"/>
            <w:bottom w:w="15" w:type="dxa"/>
            <w:right w:w="15" w:type="dxa"/>
          </w:tblCellMar>
        </w:tblPrEx>
        <w:trPr>
          <w:trHeight w:val="315"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采购人将进一步核查竞标人在响应文件中提供的材料，若在评标期间发现竞标人提供了虚假资料，采购人有权对竞标人的响应文件作废标处理，并没收其竞标保证金；若在评标结果公示期间发现作为中标候选人的竞标人提供了虚假资料，采购人有权取消其中标资格并没收其竞标担保；若在合同实施期间发现竞标人提供了虚假资料，采购人有权中止合同，并将竞标人弄虚作假行为上报省级行业主管部门，并作为不良记录纳入行业信用信息管理系统，因提供虚假材料导致合同中止，由此产生的所有损失及责任由竞标人负责。</w:t>
            </w:r>
          </w:p>
        </w:tc>
      </w:tr>
      <w:tr>
        <w:tblPrEx>
          <w:tblCellMar>
            <w:top w:w="15" w:type="dxa"/>
            <w:left w:w="15" w:type="dxa"/>
            <w:bottom w:w="15" w:type="dxa"/>
            <w:right w:w="15" w:type="dxa"/>
          </w:tblCellMar>
        </w:tblPrEx>
        <w:trPr>
          <w:trHeight w:val="649"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Cs/>
                <w:color w:val="000000" w:themeColor="text1"/>
                <w:kern w:val="0"/>
                <w:sz w:val="21"/>
                <w:szCs w:val="21"/>
                <w:highlight w:val="none"/>
                <w14:textFill>
                  <w14:solidFill>
                    <w14:schemeClr w14:val="tx1"/>
                  </w14:solidFill>
                </w14:textFill>
              </w:rPr>
            </w:pPr>
            <w:r>
              <w:rPr>
                <w:rFonts w:hint="eastAsia" w:ascii="宋体" w:hAnsi="宋体" w:cs="宋体"/>
                <w:bCs/>
                <w:color w:val="000000" w:themeColor="text1"/>
                <w:kern w:val="0"/>
                <w:sz w:val="21"/>
                <w:szCs w:val="21"/>
                <w:highlight w:val="none"/>
                <w14:textFill>
                  <w14:solidFill>
                    <w14:schemeClr w14:val="tx1"/>
                  </w14:solidFill>
                </w14:textFill>
              </w:rPr>
              <w:t>本项目后期有可能涉及部分货物的局部或尺寸或颜色的细微调整，需进行优化设计，竞标单位在竞标报价时应充分考虑此部分的费用，综合各因素和风险自行报价，中标后不予调整。本项目按业主要求分批次供货。</w:t>
            </w:r>
          </w:p>
        </w:tc>
      </w:tr>
      <w:tr>
        <w:tblPrEx>
          <w:tblCellMar>
            <w:top w:w="15" w:type="dxa"/>
            <w:left w:w="15" w:type="dxa"/>
            <w:bottom w:w="15" w:type="dxa"/>
            <w:right w:w="15" w:type="dxa"/>
          </w:tblCellMar>
        </w:tblPrEx>
        <w:trPr>
          <w:trHeight w:val="315"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响应文件开标过程中，若采购人发现响应文件出现以下任一情况，其</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标报价不参加评标基准价的计算：</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（1）未在</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标函上填写</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标总价；</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（2）</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标报价或调价函中的报价超出采购人公布的最高竞标限价(如有)。</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（3）</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标报价或调价函中的报价的大写金额无法确定具体数值；</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（4）</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标函上填写的标段号与响应文件封套上标记的标段号不一致；</w:t>
            </w:r>
          </w:p>
          <w:p>
            <w:pPr>
              <w:widowControl/>
              <w:textAlignment w:val="top"/>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（5）</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标报价函大写金额报价与分项报价表中的</w:t>
            </w:r>
            <w:r>
              <w:rPr>
                <w:rFonts w:hint="eastAsia" w:ascii="宋体" w:hAnsi="宋体" w:cs="宋体"/>
                <w:bCs/>
                <w:color w:val="000000" w:themeColor="text1"/>
                <w:kern w:val="0"/>
                <w:sz w:val="21"/>
                <w:szCs w:val="21"/>
                <w:highlight w:val="none"/>
                <w14:textFill>
                  <w14:solidFill>
                    <w14:schemeClr w14:val="tx1"/>
                  </w14:solidFill>
                </w14:textFill>
              </w:rPr>
              <w:t>竞</w:t>
            </w:r>
            <w:r>
              <w:rPr>
                <w:rFonts w:hint="eastAsia" w:ascii="宋体" w:hAnsi="宋体" w:cs="宋体"/>
                <w:bCs/>
                <w:color w:val="000000" w:themeColor="text1"/>
                <w:sz w:val="21"/>
                <w:szCs w:val="21"/>
                <w:highlight w:val="none"/>
                <w14:textFill>
                  <w14:solidFill>
                    <w14:schemeClr w14:val="tx1"/>
                  </w14:solidFill>
                </w14:textFill>
              </w:rPr>
              <w:t>标报价不一致，由四舍五入引起的除外。</w:t>
            </w:r>
          </w:p>
        </w:tc>
      </w:tr>
      <w:tr>
        <w:tblPrEx>
          <w:tblCellMar>
            <w:top w:w="15" w:type="dxa"/>
            <w:left w:w="15" w:type="dxa"/>
            <w:bottom w:w="15" w:type="dxa"/>
            <w:right w:w="15" w:type="dxa"/>
          </w:tblCellMar>
        </w:tblPrEx>
        <w:trPr>
          <w:trHeight w:val="338" w:hRule="atLeast"/>
        </w:trPr>
        <w:tc>
          <w:tcPr>
            <w:tcW w:w="9513" w:type="dxa"/>
            <w:gridSpan w:val="2"/>
            <w:tcBorders>
              <w:top w:val="single" w:color="000000" w:sz="4" w:space="0"/>
              <w:left w:val="single" w:color="000000" w:sz="4" w:space="0"/>
              <w:bottom w:val="single" w:color="000000" w:sz="4" w:space="0"/>
              <w:right w:val="single" w:color="000000" w:sz="4" w:space="0"/>
            </w:tcBorders>
          </w:tcPr>
          <w:p>
            <w:pPr>
              <w:widowControl/>
              <w:textAlignment w:val="top"/>
              <w:rPr>
                <w:rFonts w:hint="eastAsia" w:ascii="宋体" w:hAnsi="宋体" w:cs="宋体"/>
                <w:bCs/>
                <w:color w:val="000000" w:themeColor="text1"/>
                <w:sz w:val="21"/>
                <w:szCs w:val="21"/>
                <w:highlight w:val="none"/>
                <w14:textFill>
                  <w14:solidFill>
                    <w14:schemeClr w14:val="tx1"/>
                  </w14:solidFill>
                </w14:textFill>
              </w:rPr>
            </w:pPr>
          </w:p>
        </w:tc>
      </w:tr>
    </w:tbl>
    <w:p>
      <w:pPr>
        <w:rPr>
          <w:color w:val="000000" w:themeColor="text1"/>
          <w:highlight w:val="none"/>
          <w14:textFill>
            <w14:solidFill>
              <w14:schemeClr w14:val="tx1"/>
            </w14:solidFill>
          </w14:textFill>
        </w:rPr>
        <w:sectPr>
          <w:headerReference r:id="rId13" w:type="default"/>
          <w:footnotePr>
            <w:numFmt w:val="decimalEnclosedCircleChinese"/>
            <w:numRestart w:val="eachPage"/>
          </w:footnotePr>
          <w:pgSz w:w="11850" w:h="16783"/>
          <w:pgMar w:top="1077" w:right="1440" w:bottom="1247" w:left="1440" w:header="851" w:footer="851" w:gutter="0"/>
          <w:cols w:space="720" w:num="1"/>
          <w:docGrid w:linePitch="312" w:charSpace="0"/>
        </w:sectPr>
      </w:pPr>
    </w:p>
    <w:bookmarkEnd w:id="20"/>
    <w:p>
      <w:pPr>
        <w:rPr>
          <w:color w:val="000000" w:themeColor="text1"/>
          <w:highlight w:val="none"/>
          <w14:textFill>
            <w14:solidFill>
              <w14:schemeClr w14:val="tx1"/>
            </w14:solidFill>
          </w14:textFill>
        </w:rPr>
      </w:pPr>
    </w:p>
    <w:p>
      <w:pPr>
        <w:pStyle w:val="5"/>
        <w:spacing w:line="300" w:lineRule="auto"/>
        <w:rPr>
          <w:rFonts w:ascii="宋体" w:hAnsi="宋体" w:eastAsia="宋体"/>
          <w:color w:val="000000" w:themeColor="text1"/>
          <w:szCs w:val="22"/>
          <w:highlight w:val="none"/>
          <w14:textFill>
            <w14:solidFill>
              <w14:schemeClr w14:val="tx1"/>
            </w14:solidFill>
          </w14:textFill>
        </w:rPr>
      </w:pPr>
      <w:bookmarkStart w:id="21" w:name="_Toc16585719"/>
      <w:bookmarkStart w:id="22" w:name="_Toc17936"/>
      <w:bookmarkStart w:id="23" w:name="_Toc12492"/>
      <w:bookmarkStart w:id="24" w:name="_Toc31095"/>
      <w:r>
        <w:rPr>
          <w:rFonts w:ascii="宋体" w:hAnsi="宋体" w:eastAsia="宋体"/>
          <w:color w:val="000000" w:themeColor="text1"/>
          <w:szCs w:val="22"/>
          <w:highlight w:val="none"/>
          <w14:textFill>
            <w14:solidFill>
              <w14:schemeClr w14:val="tx1"/>
            </w14:solidFill>
          </w14:textFill>
        </w:rPr>
        <w:t>第三章  评标办法（</w:t>
      </w:r>
      <w:r>
        <w:rPr>
          <w:rFonts w:hint="eastAsia" w:ascii="宋体" w:hAnsi="宋体" w:eastAsia="宋体"/>
          <w:color w:val="000000" w:themeColor="text1"/>
          <w:szCs w:val="22"/>
          <w:highlight w:val="none"/>
          <w14:textFill>
            <w14:solidFill>
              <w14:schemeClr w14:val="tx1"/>
            </w14:solidFill>
          </w14:textFill>
        </w:rPr>
        <w:t>经评审的最低投标价法</w:t>
      </w:r>
      <w:r>
        <w:rPr>
          <w:rFonts w:ascii="宋体" w:hAnsi="宋体" w:eastAsia="宋体"/>
          <w:color w:val="000000" w:themeColor="text1"/>
          <w:szCs w:val="22"/>
          <w:highlight w:val="none"/>
          <w14:textFill>
            <w14:solidFill>
              <w14:schemeClr w14:val="tx1"/>
            </w14:solidFill>
          </w14:textFill>
        </w:rPr>
        <w:t>）</w:t>
      </w:r>
      <w:bookmarkEnd w:id="21"/>
      <w:bookmarkEnd w:id="22"/>
      <w:bookmarkEnd w:id="23"/>
      <w:bookmarkEnd w:id="24"/>
      <w:bookmarkStart w:id="25" w:name="_Toc152045588"/>
      <w:bookmarkStart w:id="26" w:name="_Toc152042365"/>
      <w:bookmarkStart w:id="27" w:name="_Toc179632606"/>
      <w:bookmarkStart w:id="28" w:name="_Toc144974555"/>
    </w:p>
    <w:p>
      <w:pPr>
        <w:pStyle w:val="35"/>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评标办法前附表</w:t>
      </w:r>
    </w:p>
    <w:tbl>
      <w:tblPr>
        <w:tblStyle w:val="19"/>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32"/>
        <w:gridCol w:w="1111"/>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049" w:type="dxa"/>
            <w:gridSpan w:val="2"/>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  条款号</w:t>
            </w:r>
          </w:p>
        </w:tc>
        <w:tc>
          <w:tcPr>
            <w:tcW w:w="1111"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评审因素</w:t>
            </w:r>
          </w:p>
        </w:tc>
        <w:tc>
          <w:tcPr>
            <w:tcW w:w="5956"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评标方法</w:t>
            </w:r>
          </w:p>
        </w:tc>
        <w:tc>
          <w:tcPr>
            <w:tcW w:w="1111"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成交候选人排序方法</w:t>
            </w:r>
          </w:p>
        </w:tc>
        <w:tc>
          <w:tcPr>
            <w:tcW w:w="5956" w:type="dxa"/>
            <w:vAlign w:val="center"/>
          </w:tcPr>
          <w:p>
            <w:pPr>
              <w:pStyle w:val="36"/>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经评审的</w:t>
            </w:r>
            <w:r>
              <w:rPr>
                <w:rFonts w:hint="eastAsia"/>
                <w:color w:val="000000" w:themeColor="text1"/>
                <w:sz w:val="21"/>
                <w:szCs w:val="21"/>
                <w:highlight w:val="none"/>
                <w14:textFill>
                  <w14:solidFill>
                    <w14:schemeClr w14:val="tx1"/>
                  </w14:solidFill>
                </w14:textFill>
              </w:rPr>
              <w:t>竞标报</w:t>
            </w:r>
            <w:r>
              <w:rPr>
                <w:color w:val="000000" w:themeColor="text1"/>
                <w:sz w:val="21"/>
                <w:szCs w:val="21"/>
                <w:highlight w:val="none"/>
                <w14:textFill>
                  <w14:solidFill>
                    <w14:schemeClr w14:val="tx1"/>
                  </w14:solidFill>
                </w14:textFill>
              </w:rPr>
              <w:t>价相等时，评标委员会依次按照以下优先顺序推荐成交候选人：</w:t>
            </w:r>
          </w:p>
          <w:p>
            <w:pPr>
              <w:pStyle w:val="36"/>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(1)响应文件提供的业绩数量多的竞标人优先；</w:t>
            </w:r>
          </w:p>
          <w:p>
            <w:pPr>
              <w:pStyle w:val="36"/>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(2)响应文件提供的合同金额额大的竞标人优先。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2.1.1</w:t>
            </w:r>
          </w:p>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2.1.3</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形式评审与响应性评审标准</w:t>
            </w:r>
          </w:p>
        </w:tc>
        <w:tc>
          <w:tcPr>
            <w:tcW w:w="7067" w:type="dxa"/>
            <w:gridSpan w:val="2"/>
            <w:vAlign w:val="center"/>
          </w:tcPr>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(1)营业执照、</w:t>
            </w:r>
            <w:r>
              <w:rPr>
                <w:rFonts w:hint="eastAsia"/>
                <w:color w:val="000000" w:themeColor="text1"/>
                <w:sz w:val="21"/>
                <w:szCs w:val="21"/>
                <w:highlight w:val="none"/>
                <w14:textFill>
                  <w14:solidFill>
                    <w14:schemeClr w14:val="tx1"/>
                  </w14:solidFill>
                </w14:textFill>
              </w:rPr>
              <w:t>竞标函</w:t>
            </w:r>
            <w:r>
              <w:rPr>
                <w:color w:val="000000" w:themeColor="text1"/>
                <w:sz w:val="21"/>
                <w:szCs w:val="21"/>
                <w:highlight w:val="none"/>
                <w14:textFill>
                  <w14:solidFill>
                    <w14:schemeClr w14:val="tx1"/>
                  </w14:solidFill>
                </w14:textFill>
              </w:rPr>
              <w:t>中竞标人名称一致；</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(2)响应文件按照询比文件规定的格式、内容填写，字迹清晰可辨：</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a. </w:t>
            </w:r>
            <w:r>
              <w:rPr>
                <w:rFonts w:hint="eastAsia"/>
                <w:color w:val="000000" w:themeColor="text1"/>
                <w:sz w:val="21"/>
                <w:szCs w:val="21"/>
                <w:highlight w:val="none"/>
                <w14:textFill>
                  <w14:solidFill>
                    <w14:schemeClr w14:val="tx1"/>
                  </w14:solidFill>
                </w14:textFill>
              </w:rPr>
              <w:t>竞标函</w:t>
            </w:r>
            <w:r>
              <w:rPr>
                <w:color w:val="000000" w:themeColor="text1"/>
                <w:sz w:val="21"/>
                <w:szCs w:val="21"/>
                <w:highlight w:val="none"/>
                <w14:textFill>
                  <w14:solidFill>
                    <w14:schemeClr w14:val="tx1"/>
                  </w14:solidFill>
                </w14:textFill>
              </w:rPr>
              <w:t>按询比文件规定填报了</w:t>
            </w:r>
            <w:r>
              <w:rPr>
                <w:rFonts w:hint="eastAsia"/>
                <w:color w:val="000000" w:themeColor="text1"/>
                <w:sz w:val="21"/>
                <w:szCs w:val="21"/>
                <w:highlight w:val="none"/>
                <w14:textFill>
                  <w14:solidFill>
                    <w14:schemeClr w14:val="tx1"/>
                  </w14:solidFill>
                </w14:textFill>
              </w:rPr>
              <w:t>工期</w:t>
            </w:r>
            <w:r>
              <w:rPr>
                <w:color w:val="000000" w:themeColor="text1"/>
                <w:sz w:val="21"/>
                <w:szCs w:val="21"/>
                <w:highlight w:val="none"/>
                <w14:textFill>
                  <w14:solidFill>
                    <w14:schemeClr w14:val="tx1"/>
                  </w14:solidFill>
                </w14:textFill>
              </w:rPr>
              <w:t>和质量标准，符合询比文件规定；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 响应文件组成齐全完整，按照询比文件规定的格式、内容编制；</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c. </w:t>
            </w:r>
            <w:r>
              <w:rPr>
                <w:rFonts w:hint="eastAsia"/>
                <w:color w:val="000000" w:themeColor="text1"/>
                <w:sz w:val="21"/>
                <w:szCs w:val="21"/>
                <w:highlight w:val="none"/>
                <w14:textFill>
                  <w14:solidFill>
                    <w14:schemeClr w14:val="tx1"/>
                  </w14:solidFill>
                </w14:textFill>
              </w:rPr>
              <w:t>竞标函</w:t>
            </w:r>
            <w:r>
              <w:rPr>
                <w:color w:val="000000" w:themeColor="text1"/>
                <w:sz w:val="21"/>
                <w:szCs w:val="21"/>
                <w:highlight w:val="none"/>
                <w14:textFill>
                  <w14:solidFill>
                    <w14:schemeClr w14:val="tx1"/>
                  </w14:solidFill>
                </w14:textFill>
              </w:rPr>
              <w:t>按询比文件规定填报了采购人名称、项目名称、补遗书编号(如有)、总报价(包括大写金额和小写金额)；</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d</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 xml:space="preserve"> </w:t>
            </w:r>
            <w:r>
              <w:rPr>
                <w:color w:val="000000" w:themeColor="text1"/>
                <w:sz w:val="21"/>
                <w:szCs w:val="21"/>
                <w:highlight w:val="none"/>
                <w14:textFill>
                  <w14:solidFill>
                    <w14:schemeClr w14:val="tx1"/>
                  </w14:solidFill>
                </w14:textFill>
              </w:rPr>
              <w:t>已标价工程量清单及说明文字与询比文件规定一致，未进行实质性修改和删减；</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e</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 xml:space="preserve"> 报价</w:t>
            </w:r>
            <w:r>
              <w:rPr>
                <w:color w:val="000000" w:themeColor="text1"/>
                <w:sz w:val="21"/>
                <w:szCs w:val="21"/>
                <w:highlight w:val="none"/>
                <w14:textFill>
                  <w14:solidFill>
                    <w14:schemeClr w14:val="tx1"/>
                  </w14:solidFill>
                </w14:textFill>
              </w:rPr>
              <w:t>清单中的总报价与</w:t>
            </w:r>
            <w:r>
              <w:rPr>
                <w:rFonts w:hint="eastAsia"/>
                <w:color w:val="000000" w:themeColor="text1"/>
                <w:sz w:val="21"/>
                <w:szCs w:val="21"/>
                <w:highlight w:val="none"/>
                <w14:textFill>
                  <w14:solidFill>
                    <w14:schemeClr w14:val="tx1"/>
                  </w14:solidFill>
                </w14:textFill>
              </w:rPr>
              <w:t>投标</w:t>
            </w:r>
            <w:r>
              <w:rPr>
                <w:color w:val="000000" w:themeColor="text1"/>
                <w:sz w:val="21"/>
                <w:szCs w:val="21"/>
                <w:highlight w:val="none"/>
                <w14:textFill>
                  <w14:solidFill>
                    <w14:schemeClr w14:val="tx1"/>
                  </w14:solidFill>
                </w14:textFill>
              </w:rPr>
              <w:t>函大写金额报价一致</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f. 竞</w:t>
            </w:r>
            <w:r>
              <w:rPr>
                <w:color w:val="000000" w:themeColor="text1"/>
                <w:sz w:val="21"/>
                <w:szCs w:val="21"/>
                <w:highlight w:val="none"/>
                <w14:textFill>
                  <w14:solidFill>
                    <w14:schemeClr w14:val="tx1"/>
                  </w14:solidFill>
                </w14:textFill>
              </w:rPr>
              <w:t>标报价未超过询比文件设定的最高控制价上限(如有)</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 竞</w:t>
            </w:r>
            <w:r>
              <w:rPr>
                <w:color w:val="000000" w:themeColor="text1"/>
                <w:sz w:val="21"/>
                <w:szCs w:val="21"/>
                <w:highlight w:val="none"/>
                <w14:textFill>
                  <w14:solidFill>
                    <w14:schemeClr w14:val="tx1"/>
                  </w14:solidFill>
                </w14:textFill>
              </w:rPr>
              <w:t>标报价的大写金额能够确定具体数值</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h. </w:t>
            </w:r>
            <w:r>
              <w:rPr>
                <w:color w:val="000000" w:themeColor="text1"/>
                <w:sz w:val="21"/>
                <w:szCs w:val="21"/>
                <w:highlight w:val="none"/>
                <w14:textFill>
                  <w14:solidFill>
                    <w14:schemeClr w14:val="tx1"/>
                  </w14:solidFill>
                </w14:textFill>
              </w:rPr>
              <w:t>同一竞标人未提交一个以上不同的</w:t>
            </w:r>
            <w:r>
              <w:rPr>
                <w:rFonts w:hint="eastAsia"/>
                <w:color w:val="000000" w:themeColor="text1"/>
                <w:sz w:val="21"/>
                <w:szCs w:val="21"/>
                <w:highlight w:val="none"/>
                <w14:textFill>
                  <w14:solidFill>
                    <w14:schemeClr w14:val="tx1"/>
                  </w14:solidFill>
                </w14:textFill>
              </w:rPr>
              <w:t>竞标</w:t>
            </w:r>
            <w:r>
              <w:rPr>
                <w:color w:val="000000" w:themeColor="text1"/>
                <w:sz w:val="21"/>
                <w:szCs w:val="21"/>
                <w:highlight w:val="none"/>
                <w14:textFill>
                  <w14:solidFill>
                    <w14:schemeClr w14:val="tx1"/>
                  </w14:solidFill>
                </w14:textFill>
              </w:rPr>
              <w:t>报价</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i. </w:t>
            </w:r>
            <w:r>
              <w:rPr>
                <w:color w:val="000000" w:themeColor="text1"/>
                <w:sz w:val="21"/>
                <w:szCs w:val="21"/>
                <w:highlight w:val="none"/>
                <w14:textFill>
                  <w14:solidFill>
                    <w14:schemeClr w14:val="tx1"/>
                  </w14:solidFill>
                </w14:textFill>
              </w:rPr>
              <w:t>竞标人未提交调价函</w:t>
            </w:r>
            <w:r>
              <w:rPr>
                <w:rFonts w:hint="eastAsia"/>
                <w:color w:val="000000" w:themeColor="text1"/>
                <w:sz w:val="21"/>
                <w:szCs w:val="21"/>
                <w:highlight w:val="none"/>
                <w14:textFill>
                  <w14:solidFill>
                    <w14:schemeClr w14:val="tx1"/>
                  </w14:solidFill>
                </w14:textFill>
              </w:rPr>
              <w:t>；</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j. </w:t>
            </w:r>
            <w:r>
              <w:rPr>
                <w:color w:val="000000" w:themeColor="text1"/>
                <w:sz w:val="21"/>
                <w:szCs w:val="21"/>
                <w:highlight w:val="none"/>
                <w14:textFill>
                  <w14:solidFill>
                    <w14:schemeClr w14:val="tx1"/>
                  </w14:solidFill>
                </w14:textFill>
              </w:rPr>
              <w:t>竞标人若填写工程量清单，填写完毕的工程量清单未对</w:t>
            </w:r>
            <w:r>
              <w:rPr>
                <w:rFonts w:hint="eastAsia"/>
                <w:color w:val="000000" w:themeColor="text1"/>
                <w:sz w:val="21"/>
                <w:szCs w:val="21"/>
                <w:highlight w:val="none"/>
                <w14:textFill>
                  <w14:solidFill>
                    <w14:schemeClr w14:val="tx1"/>
                  </w14:solidFill>
                </w14:textFill>
              </w:rPr>
              <w:t>原</w:t>
            </w:r>
            <w:r>
              <w:rPr>
                <w:color w:val="000000" w:themeColor="text1"/>
                <w:sz w:val="21"/>
                <w:szCs w:val="21"/>
                <w:highlight w:val="none"/>
                <w14:textFill>
                  <w14:solidFill>
                    <w14:schemeClr w14:val="tx1"/>
                  </w14:solidFill>
                </w14:textFill>
              </w:rPr>
              <w:t>工程量清单电子文件中的数据、格式和运算定义进行修改。</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)响应文件上法定代表人或其授权代理人的签字、竞标人的单位章盖章应在要求位置签字盖章，符合询比文件规定；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)竞标人法定代表人授权代理人签署响应文件的</w:t>
            </w:r>
            <w:r>
              <w:rPr>
                <w:color w:val="000000" w:themeColor="text1"/>
                <w:spacing w:val="-104"/>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需提交授权委托</w:t>
            </w:r>
            <w:r>
              <w:rPr>
                <w:color w:val="000000" w:themeColor="text1"/>
                <w:spacing w:val="-4"/>
                <w:sz w:val="21"/>
                <w:szCs w:val="21"/>
                <w:highlight w:val="none"/>
                <w14:textFill>
                  <w14:solidFill>
                    <w14:schemeClr w14:val="tx1"/>
                  </w14:solidFill>
                </w14:textFill>
              </w:rPr>
              <w:t>书，且授权人和被授权人均在授权委托书上签名，未使用印章、签名章</w:t>
            </w:r>
            <w:r>
              <w:rPr>
                <w:color w:val="000000" w:themeColor="text1"/>
                <w:sz w:val="21"/>
                <w:szCs w:val="21"/>
                <w:highlight w:val="none"/>
                <w14:textFill>
                  <w14:solidFill>
                    <w14:schemeClr w14:val="tx1"/>
                  </w14:solidFill>
                </w14:textFill>
              </w:rPr>
              <w:t>或其他电子制版签名代替。</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)竞标人法定代表人亲自签署响应文件的</w:t>
            </w:r>
            <w:r>
              <w:rPr>
                <w:color w:val="000000" w:themeColor="text1"/>
                <w:spacing w:val="-104"/>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提供了法定代表人身份</w:t>
            </w:r>
            <w:r>
              <w:rPr>
                <w:color w:val="000000" w:themeColor="text1"/>
                <w:spacing w:val="-4"/>
                <w:sz w:val="21"/>
                <w:szCs w:val="21"/>
                <w:highlight w:val="none"/>
                <w14:textFill>
                  <w14:solidFill>
                    <w14:schemeClr w14:val="tx1"/>
                  </w14:solidFill>
                </w14:textFill>
              </w:rPr>
              <w:t>证明，且法定代表人在法定代表人身份证明上签名，未使用印章、签名</w:t>
            </w:r>
            <w:r>
              <w:rPr>
                <w:color w:val="000000" w:themeColor="text1"/>
                <w:sz w:val="21"/>
                <w:szCs w:val="21"/>
                <w:highlight w:val="none"/>
                <w14:textFill>
                  <w14:solidFill>
                    <w14:schemeClr w14:val="tx1"/>
                  </w14:solidFill>
                </w14:textFill>
              </w:rPr>
              <w:t>章或其他电子制版签名代替。</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6</w:t>
            </w:r>
            <w:r>
              <w:rPr>
                <w:color w:val="000000" w:themeColor="text1"/>
                <w:sz w:val="21"/>
                <w:szCs w:val="21"/>
                <w:highlight w:val="none"/>
                <w14:textFill>
                  <w14:solidFill>
                    <w14:schemeClr w14:val="tx1"/>
                  </w14:solidFill>
                </w14:textFill>
              </w:rPr>
              <w:t>)响应文件载明的</w:t>
            </w:r>
            <w:r>
              <w:rPr>
                <w:rFonts w:hint="eastAsia"/>
                <w:color w:val="000000" w:themeColor="text1"/>
                <w:sz w:val="21"/>
                <w:szCs w:val="21"/>
                <w:highlight w:val="none"/>
                <w14:textFill>
                  <w14:solidFill>
                    <w14:schemeClr w14:val="tx1"/>
                  </w14:solidFill>
                </w14:textFill>
              </w:rPr>
              <w:t>施工工期/</w:t>
            </w:r>
            <w:r>
              <w:rPr>
                <w:color w:val="000000" w:themeColor="text1"/>
                <w:sz w:val="21"/>
                <w:szCs w:val="21"/>
                <w:highlight w:val="none"/>
                <w14:textFill>
                  <w14:solidFill>
                    <w14:schemeClr w14:val="tx1"/>
                  </w14:solidFill>
                </w14:textFill>
              </w:rPr>
              <w:t>交货期、交货地点、质量标准、</w:t>
            </w:r>
            <w:r>
              <w:rPr>
                <w:rFonts w:hint="eastAsia"/>
                <w:color w:val="000000" w:themeColor="text1"/>
                <w:sz w:val="21"/>
                <w:szCs w:val="21"/>
                <w:highlight w:val="none"/>
                <w14:textFill>
                  <w14:solidFill>
                    <w14:schemeClr w14:val="tx1"/>
                  </w14:solidFill>
                </w14:textFill>
              </w:rPr>
              <w:t>竞</w:t>
            </w:r>
            <w:r>
              <w:rPr>
                <w:color w:val="000000" w:themeColor="text1"/>
                <w:sz w:val="21"/>
                <w:szCs w:val="21"/>
                <w:highlight w:val="none"/>
                <w14:textFill>
                  <w14:solidFill>
                    <w14:schemeClr w14:val="tx1"/>
                  </w14:solidFill>
                </w14:textFill>
              </w:rPr>
              <w:t>标有效期符合询比文件规定。</w:t>
            </w:r>
          </w:p>
          <w:p>
            <w:pPr>
              <w:spacing w:line="288"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竞</w:t>
            </w:r>
            <w:r>
              <w:rPr>
                <w:color w:val="000000" w:themeColor="text1"/>
                <w:sz w:val="21"/>
                <w:szCs w:val="21"/>
                <w:highlight w:val="none"/>
                <w14:textFill>
                  <w14:solidFill>
                    <w14:schemeClr w14:val="tx1"/>
                  </w14:solidFill>
                </w14:textFill>
              </w:rPr>
              <w:t>标产品及相关服务、技术支持资料符合询比文件规定。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8</w:t>
            </w:r>
            <w:r>
              <w:rPr>
                <w:color w:val="000000" w:themeColor="text1"/>
                <w:sz w:val="21"/>
                <w:szCs w:val="21"/>
                <w:highlight w:val="none"/>
                <w14:textFill>
                  <w14:solidFill>
                    <w14:schemeClr w14:val="tx1"/>
                  </w14:solidFill>
                </w14:textFill>
              </w:rPr>
              <w:t>)响应文件未附有采购人不能接受的条件。</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9</w:t>
            </w:r>
            <w:r>
              <w:rPr>
                <w:color w:val="000000" w:themeColor="text1"/>
                <w:sz w:val="21"/>
                <w:szCs w:val="21"/>
                <w:highlight w:val="none"/>
                <w14:textFill>
                  <w14:solidFill>
                    <w14:schemeClr w14:val="tx1"/>
                  </w14:solidFill>
                </w14:textFill>
              </w:rPr>
              <w:t>)权利义务符合询比文件的实质性要求和条件：</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a.竞标人接受询比文件规定的风险划分原则，未提出新的风险划分办法；</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b.竞标人未增加采购人的责任范围，或减少竞标人义务；</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c.竞标人未提出不同的工程验收、计量、支付办法；</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d.竞标人对合同纠纷、事故处理办法未提出异议；</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e.竞标人在</w:t>
            </w:r>
            <w:r>
              <w:rPr>
                <w:rFonts w:hint="eastAsia"/>
                <w:color w:val="000000" w:themeColor="text1"/>
                <w:sz w:val="21"/>
                <w:szCs w:val="21"/>
                <w:highlight w:val="none"/>
                <w14:textFill>
                  <w14:solidFill>
                    <w14:schemeClr w14:val="tx1"/>
                  </w14:solidFill>
                </w14:textFill>
              </w:rPr>
              <w:t>竞</w:t>
            </w:r>
            <w:r>
              <w:rPr>
                <w:color w:val="000000" w:themeColor="text1"/>
                <w:sz w:val="21"/>
                <w:szCs w:val="21"/>
                <w:highlight w:val="none"/>
                <w14:textFill>
                  <w14:solidFill>
                    <w14:schemeClr w14:val="tx1"/>
                  </w14:solidFill>
                </w14:textFill>
              </w:rPr>
              <w:t>标活动中无欺诈行为；</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f.竞标人未对合同条款有重要保留。</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0</w:t>
            </w:r>
            <w:r>
              <w:rPr>
                <w:color w:val="000000" w:themeColor="text1"/>
                <w:sz w:val="21"/>
                <w:szCs w:val="21"/>
                <w:highlight w:val="none"/>
                <w14:textFill>
                  <w14:solidFill>
                    <w14:schemeClr w14:val="tx1"/>
                  </w14:solidFill>
                </w14:textFill>
              </w:rPr>
              <w:t>)响应文件未附有采购人不能接受的条件。</w:t>
            </w:r>
          </w:p>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（11）响应文件按要求装订。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2.1.2</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资格评审标准</w:t>
            </w:r>
          </w:p>
        </w:tc>
        <w:tc>
          <w:tcPr>
            <w:tcW w:w="7067" w:type="dxa"/>
            <w:gridSpan w:val="2"/>
            <w:vAlign w:val="center"/>
          </w:tcPr>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(1)竞标人具备有效的营业执照；</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(2)竞标人的资质符合询比文件规定；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(3)竞标人的业绩符合询比文件规定；</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(4)竞标人的其他要求符合询比文件规定；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w:t>
            </w:r>
          </w:p>
        </w:tc>
        <w:tc>
          <w:tcPr>
            <w:tcW w:w="1232"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详细评审</w:t>
            </w:r>
          </w:p>
        </w:tc>
        <w:tc>
          <w:tcPr>
            <w:tcW w:w="7067" w:type="dxa"/>
            <w:gridSpan w:val="2"/>
            <w:vAlign w:val="center"/>
          </w:tcPr>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(1)本项目不设评分值。</w:t>
            </w:r>
          </w:p>
          <w:p>
            <w:pPr>
              <w:pStyle w:val="36"/>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(2)除按第二章“竞标人须知前”规定开标现场被宣布不参加</w:t>
            </w:r>
            <w:r>
              <w:rPr>
                <w:rFonts w:hint="eastAsia"/>
                <w:color w:val="000000" w:themeColor="text1"/>
                <w:sz w:val="21"/>
                <w:szCs w:val="21"/>
                <w:highlight w:val="none"/>
                <w14:textFill>
                  <w14:solidFill>
                    <w14:schemeClr w14:val="tx1"/>
                  </w14:solidFill>
                </w14:textFill>
              </w:rPr>
              <w:t>响应文件</w:t>
            </w:r>
            <w:r>
              <w:rPr>
                <w:color w:val="000000" w:themeColor="text1"/>
                <w:sz w:val="21"/>
                <w:szCs w:val="21"/>
                <w:highlight w:val="none"/>
                <w14:textFill>
                  <w14:solidFill>
                    <w14:schemeClr w14:val="tx1"/>
                  </w14:solidFill>
                </w14:textFill>
              </w:rPr>
              <w:t>评审的报价之外</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评审小组</w:t>
            </w:r>
            <w:r>
              <w:rPr>
                <w:rFonts w:hint="eastAsia"/>
                <w:color w:val="000000" w:themeColor="text1"/>
                <w:sz w:val="21"/>
                <w:szCs w:val="21"/>
                <w:highlight w:val="none"/>
                <w14:textFill>
                  <w14:solidFill>
                    <w14:schemeClr w14:val="tx1"/>
                  </w14:solidFill>
                </w14:textFill>
              </w:rPr>
              <w:t>对</w:t>
            </w:r>
            <w:r>
              <w:rPr>
                <w:color w:val="000000" w:themeColor="text1"/>
                <w:sz w:val="21"/>
                <w:szCs w:val="21"/>
                <w:highlight w:val="none"/>
                <w14:textFill>
                  <w14:solidFill>
                    <w14:schemeClr w14:val="tx1"/>
                  </w14:solidFill>
                </w14:textFill>
              </w:rPr>
              <w:t>通过</w:t>
            </w:r>
            <w:r>
              <w:rPr>
                <w:rFonts w:hint="eastAsia"/>
                <w:color w:val="000000" w:themeColor="text1"/>
                <w:sz w:val="21"/>
                <w:szCs w:val="21"/>
                <w:highlight w:val="none"/>
                <w14:textFill>
                  <w14:solidFill>
                    <w14:schemeClr w14:val="tx1"/>
                  </w14:solidFill>
                </w14:textFill>
              </w:rPr>
              <w:t>响应文件</w:t>
            </w:r>
            <w:r>
              <w:rPr>
                <w:color w:val="000000" w:themeColor="text1"/>
                <w:sz w:val="21"/>
                <w:szCs w:val="21"/>
                <w:highlight w:val="none"/>
                <w14:textFill>
                  <w14:solidFill>
                    <w14:schemeClr w14:val="tx1"/>
                  </w14:solidFill>
                </w14:textFill>
              </w:rPr>
              <w:t>评审</w:t>
            </w:r>
            <w:r>
              <w:rPr>
                <w:rFonts w:hint="eastAsia"/>
                <w:color w:val="000000" w:themeColor="text1"/>
                <w:sz w:val="21"/>
                <w:szCs w:val="21"/>
                <w:highlight w:val="none"/>
                <w14:textFill>
                  <w14:solidFill>
                    <w14:schemeClr w14:val="tx1"/>
                  </w14:solidFill>
                </w14:textFill>
              </w:rPr>
              <w:t>的</w:t>
            </w:r>
            <w:r>
              <w:rPr>
                <w:color w:val="000000" w:themeColor="text1"/>
                <w:sz w:val="21"/>
                <w:szCs w:val="21"/>
                <w:highlight w:val="none"/>
                <w14:textFill>
                  <w14:solidFill>
                    <w14:schemeClr w14:val="tx1"/>
                  </w14:solidFill>
                </w14:textFill>
              </w:rPr>
              <w:t>竞标人的报价</w:t>
            </w:r>
            <w:r>
              <w:rPr>
                <w:rFonts w:hint="eastAsia"/>
                <w:color w:val="000000" w:themeColor="text1"/>
                <w:sz w:val="21"/>
                <w:szCs w:val="21"/>
                <w:highlight w:val="none"/>
                <w14:textFill>
                  <w14:solidFill>
                    <w14:schemeClr w14:val="tx1"/>
                  </w14:solidFill>
                </w14:textFill>
              </w:rPr>
              <w:t>按</w:t>
            </w:r>
            <w:r>
              <w:rPr>
                <w:color w:val="000000" w:themeColor="text1"/>
                <w:sz w:val="21"/>
                <w:szCs w:val="21"/>
                <w:highlight w:val="none"/>
                <w14:textFill>
                  <w14:solidFill>
                    <w14:schemeClr w14:val="tx1"/>
                  </w14:solidFill>
                </w14:textFill>
              </w:rPr>
              <w:t>由低到高的顺序推荐成交候选人。</w:t>
            </w:r>
          </w:p>
        </w:tc>
      </w:tr>
    </w:tbl>
    <w:p>
      <w:pPr>
        <w:rPr>
          <w:rFonts w:ascii="宋体" w:hAnsi="宋体"/>
          <w:color w:val="000000" w:themeColor="text1"/>
          <w:highlight w:val="none"/>
          <w14:textFill>
            <w14:solidFill>
              <w14:schemeClr w14:val="tx1"/>
            </w14:solidFill>
          </w14:textFill>
        </w:rPr>
      </w:pPr>
    </w:p>
    <w:tbl>
      <w:tblPr>
        <w:tblStyle w:val="19"/>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19"/>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848"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条款号</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条款内容</w:t>
            </w:r>
          </w:p>
        </w:tc>
        <w:tc>
          <w:tcPr>
            <w:tcW w:w="7050"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48" w:type="dxa"/>
            <w:vMerge w:val="restart"/>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3.1</w:t>
            </w:r>
          </w:p>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3.2</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响应文件评审</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评审小组首先对响应文件进行形式评审、资格评审和响应性评审，对通过评审的响应文件按本章相关规定进行评审。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48" w:type="dxa"/>
            <w:vMerge w:val="continue"/>
            <w:vAlign w:val="center"/>
          </w:tcPr>
          <w:p>
            <w:pPr>
              <w:pStyle w:val="36"/>
              <w:rPr>
                <w:color w:val="000000" w:themeColor="text1"/>
                <w:sz w:val="21"/>
                <w:szCs w:val="21"/>
                <w:highlight w:val="none"/>
                <w14:textFill>
                  <w14:solidFill>
                    <w14:schemeClr w14:val="tx1"/>
                  </w14:solidFill>
                </w14:textFill>
              </w:rPr>
            </w:pP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有效竞标不足</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个的情况</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如通过响应文件评审的有效竞标不足</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个，评审小组应当对有效竞标是否仍具有竞争性进行评审。评审小组一致认为有效竞标仍具有竞争性的，应当继续按照规定的程序进行详细评审，并在评审报告中予以说明。评审小组对有效竞标是否仍具有竞争性无法达成一致意见的，应当否决全部竞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8"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3.3</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响应文件的澄清</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在评审过程中，评审小组可以书面形式要求竞标人对响应文件中含义不明确、对同类问题表述不一致或者有明显文字和计算错误的内容作必要的澄清、说明或补正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8" w:type="dxa"/>
            <w:vAlign w:val="center"/>
          </w:tcPr>
          <w:p>
            <w:pPr>
              <w:pStyle w:val="3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3.4</w:t>
            </w:r>
          </w:p>
        </w:tc>
        <w:tc>
          <w:tcPr>
            <w:tcW w:w="1219"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评审结果</w:t>
            </w:r>
          </w:p>
        </w:tc>
        <w:tc>
          <w:tcPr>
            <w:tcW w:w="7050" w:type="dxa"/>
            <w:vAlign w:val="center"/>
          </w:tcPr>
          <w:p>
            <w:pPr>
              <w:pStyle w:val="36"/>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评审小组对通过评审的响应文件按经评审的价格由低到高的顺序推荐成交候选人。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848" w:type="dxa"/>
            <w:vAlign w:val="center"/>
          </w:tcPr>
          <w:p>
            <w:pPr>
              <w:pStyle w:val="36"/>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3.5</w:t>
            </w:r>
          </w:p>
        </w:tc>
        <w:tc>
          <w:tcPr>
            <w:tcW w:w="1219" w:type="dxa"/>
            <w:vAlign w:val="center"/>
          </w:tcPr>
          <w:p>
            <w:pPr>
              <w:pStyle w:val="36"/>
              <w:jc w:val="left"/>
              <w:rPr>
                <w:color w:val="000000" w:themeColor="text1"/>
                <w:sz w:val="21"/>
                <w:szCs w:val="21"/>
                <w:highlight w:val="none"/>
                <w14:textFill>
                  <w14:solidFill>
                    <w14:schemeClr w14:val="tx1"/>
                  </w14:solidFill>
                </w14:textFill>
              </w:rPr>
            </w:pPr>
            <w:r>
              <w:rPr>
                <w:rFonts w:cs="宋体"/>
                <w:color w:val="000000" w:themeColor="text1"/>
                <w:kern w:val="0"/>
                <w:sz w:val="21"/>
                <w:szCs w:val="21"/>
                <w:highlight w:val="none"/>
                <w14:textFill>
                  <w14:solidFill>
                    <w14:schemeClr w14:val="tx1"/>
                  </w14:solidFill>
                </w14:textFill>
              </w:rPr>
              <w:t>需要补充的其他内容</w:t>
            </w:r>
          </w:p>
        </w:tc>
        <w:tc>
          <w:tcPr>
            <w:tcW w:w="7050" w:type="dxa"/>
            <w:vAlign w:val="center"/>
          </w:tcPr>
          <w:p>
            <w:pPr>
              <w:pStyle w:val="34"/>
              <w:snapToGrid w:val="0"/>
              <w:spacing w:line="288" w:lineRule="auto"/>
              <w:rPr>
                <w:color w:val="000000" w:themeColor="text1"/>
                <w:sz w:val="21"/>
                <w:szCs w:val="21"/>
                <w:highlight w:val="none"/>
                <w:lang w:val="en-US"/>
                <w14:textFill>
                  <w14:solidFill>
                    <w14:schemeClr w14:val="tx1"/>
                  </w14:solidFill>
                </w14:textFill>
              </w:rPr>
            </w:pPr>
            <w:r>
              <w:rPr>
                <w:color w:val="000000" w:themeColor="text1"/>
                <w:kern w:val="0"/>
                <w:sz w:val="21"/>
                <w:szCs w:val="21"/>
                <w:highlight w:val="none"/>
                <w:lang w:val="en-US"/>
                <w14:textFill>
                  <w14:solidFill>
                    <w14:schemeClr w14:val="tx1"/>
                  </w14:solidFill>
                </w14:textFill>
              </w:rPr>
              <w:br w:type="textWrapping"/>
            </w:r>
            <w:r>
              <w:rPr>
                <w:rFonts w:hint="eastAsia"/>
                <w:color w:val="000000" w:themeColor="text1"/>
                <w:kern w:val="0"/>
                <w:sz w:val="21"/>
                <w:szCs w:val="21"/>
                <w:highlight w:val="none"/>
                <w:lang w:val="en-US"/>
                <w14:textFill>
                  <w14:solidFill>
                    <w14:schemeClr w14:val="tx1"/>
                  </w14:solidFill>
                </w14:textFill>
              </w:rPr>
              <w:t>1、</w:t>
            </w:r>
            <w:r>
              <w:rPr>
                <w:color w:val="000000" w:themeColor="text1"/>
                <w:kern w:val="0"/>
                <w:sz w:val="21"/>
                <w:szCs w:val="21"/>
                <w:highlight w:val="none"/>
                <w:lang w:val="en-US"/>
                <w14:textFill>
                  <w14:solidFill>
                    <w14:schemeClr w14:val="tx1"/>
                  </w14:solidFill>
                </w14:textFill>
              </w:rPr>
              <w:t>如竞标人的评标价</w:t>
            </w:r>
            <w:r>
              <w:rPr>
                <w:rFonts w:hint="eastAsia"/>
                <w:color w:val="000000" w:themeColor="text1"/>
                <w:kern w:val="0"/>
                <w:sz w:val="21"/>
                <w:szCs w:val="21"/>
                <w:highlight w:val="none"/>
                <w:lang w:val="en-US"/>
                <w14:textFill>
                  <w14:solidFill>
                    <w14:schemeClr w14:val="tx1"/>
                  </w14:solidFill>
                </w14:textFill>
              </w:rPr>
              <w:t>同时</w:t>
            </w:r>
            <w:r>
              <w:rPr>
                <w:color w:val="000000" w:themeColor="text1"/>
                <w:kern w:val="0"/>
                <w:sz w:val="21"/>
                <w:szCs w:val="21"/>
                <w:highlight w:val="none"/>
                <w:lang w:val="en-US"/>
                <w14:textFill>
                  <w14:solidFill>
                    <w14:schemeClr w14:val="tx1"/>
                  </w14:solidFill>
                </w14:textFill>
              </w:rPr>
              <w:t>低于最高</w:t>
            </w:r>
            <w:r>
              <w:rPr>
                <w:rFonts w:hint="eastAsia"/>
                <w:color w:val="000000" w:themeColor="text1"/>
                <w:kern w:val="0"/>
                <w:sz w:val="21"/>
                <w:szCs w:val="21"/>
                <w:highlight w:val="none"/>
                <w:lang w:val="en-US"/>
                <w14:textFill>
                  <w14:solidFill>
                    <w14:schemeClr w14:val="tx1"/>
                  </w14:solidFill>
                </w14:textFill>
              </w:rPr>
              <w:t>竞</w:t>
            </w:r>
            <w:r>
              <w:rPr>
                <w:color w:val="000000" w:themeColor="text1"/>
                <w:kern w:val="0"/>
                <w:sz w:val="21"/>
                <w:szCs w:val="21"/>
                <w:highlight w:val="none"/>
                <w:lang w:val="en-US"/>
                <w14:textFill>
                  <w14:solidFill>
                    <w14:schemeClr w14:val="tx1"/>
                  </w14:solidFill>
                </w14:textFill>
              </w:rPr>
              <w:t>标限价的80%和评标价平均值的85%时，评标委员会可以要求该竞标人作出书面说明并提供相应的证明材料。竞标人不能合理说明或者不能提供相应证明材料的，评标委员会认定该竞标人以低于成本报价竞标，其</w:t>
            </w:r>
            <w:r>
              <w:rPr>
                <w:rFonts w:hint="eastAsia"/>
                <w:color w:val="000000" w:themeColor="text1"/>
                <w:kern w:val="0"/>
                <w:sz w:val="21"/>
                <w:szCs w:val="21"/>
                <w:highlight w:val="none"/>
                <w:lang w:val="en-US"/>
                <w14:textFill>
                  <w14:solidFill>
                    <w14:schemeClr w14:val="tx1"/>
                  </w14:solidFill>
                </w14:textFill>
              </w:rPr>
              <w:t>竞</w:t>
            </w:r>
            <w:r>
              <w:rPr>
                <w:color w:val="000000" w:themeColor="text1"/>
                <w:kern w:val="0"/>
                <w:sz w:val="21"/>
                <w:szCs w:val="21"/>
                <w:highlight w:val="none"/>
                <w:lang w:val="en-US"/>
                <w14:textFill>
                  <w14:solidFill>
                    <w14:schemeClr w14:val="tx1"/>
                  </w14:solidFill>
                </w14:textFill>
              </w:rPr>
              <w:t>标将被否决。</w:t>
            </w:r>
            <w:r>
              <w:rPr>
                <w:color w:val="000000" w:themeColor="text1"/>
                <w:kern w:val="0"/>
                <w:sz w:val="21"/>
                <w:szCs w:val="21"/>
                <w:highlight w:val="none"/>
                <w:lang w:val="en-US"/>
                <w14:textFill>
                  <w14:solidFill>
                    <w14:schemeClr w14:val="tx1"/>
                  </w14:solidFill>
                </w14:textFill>
              </w:rPr>
              <w:br w:type="textWrapping"/>
            </w:r>
            <w:r>
              <w:rPr>
                <w:rFonts w:hint="eastAsia"/>
                <w:color w:val="000000" w:themeColor="text1"/>
                <w:kern w:val="0"/>
                <w:sz w:val="21"/>
                <w:szCs w:val="21"/>
                <w:highlight w:val="none"/>
                <w:lang w:val="en-US"/>
                <w14:textFill>
                  <w14:solidFill>
                    <w14:schemeClr w14:val="tx1"/>
                  </w14:solidFill>
                </w14:textFill>
              </w:rPr>
              <w:t>注：评标价平均值，</w:t>
            </w:r>
            <w:r>
              <w:rPr>
                <w:rFonts w:hint="eastAsia"/>
                <w:color w:val="000000" w:themeColor="text1"/>
                <w:sz w:val="21"/>
                <w:szCs w:val="21"/>
                <w:highlight w:val="none"/>
                <w:lang w:val="en-US"/>
                <w14:textFill>
                  <w14:solidFill>
                    <w14:schemeClr w14:val="tx1"/>
                  </w14:solidFill>
                </w14:textFill>
              </w:rPr>
              <w:t>所有通过资格审查、形式和响应性评审的竞标人的竞标报价</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对其</w:t>
            </w:r>
            <w:r>
              <w:rPr>
                <w:color w:val="000000" w:themeColor="text1"/>
                <w:sz w:val="21"/>
                <w:szCs w:val="21"/>
                <w:highlight w:val="none"/>
                <w14:textFill>
                  <w14:solidFill>
                    <w14:schemeClr w14:val="tx1"/>
                  </w14:solidFill>
                </w14:textFill>
              </w:rPr>
              <w:t>排序后分别去除10%的高值（由高到低）和10%的低值（由低到高）（按四舍五入）剩余竞标人的评标价的算术平均值为评标价平均值</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若竞标人少于等于5人时，则评标价平均值为所有通过资格审查、形式和响应性评审的竞标人的竞标报价的平均值。</w:t>
            </w:r>
          </w:p>
          <w:p>
            <w:pPr>
              <w:pStyle w:val="34"/>
              <w:snapToGrid w:val="0"/>
              <w:spacing w:line="288"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2、中标人分别</w:t>
            </w:r>
            <w:r>
              <w:rPr>
                <w:color w:val="000000" w:themeColor="text1"/>
                <w:sz w:val="21"/>
                <w:szCs w:val="21"/>
                <w:highlight w:val="none"/>
                <w:lang w:val="en-US"/>
                <w14:textFill>
                  <w14:solidFill>
                    <w14:schemeClr w14:val="tx1"/>
                  </w14:solidFill>
                </w14:textFill>
              </w:rPr>
              <w:t>与</w:t>
            </w:r>
            <w:r>
              <w:rPr>
                <w:rFonts w:hint="eastAsia"/>
                <w:color w:val="000000" w:themeColor="text1"/>
                <w:sz w:val="21"/>
                <w:szCs w:val="21"/>
                <w:highlight w:val="none"/>
                <w:lang w:val="en-US"/>
                <w14:textFill>
                  <w14:solidFill>
                    <w14:schemeClr w14:val="tx1"/>
                  </w14:solidFill>
                </w14:textFill>
              </w:rPr>
              <w:t>驿达</w:t>
            </w:r>
            <w:r>
              <w:rPr>
                <w:color w:val="000000" w:themeColor="text1"/>
                <w:sz w:val="21"/>
                <w:szCs w:val="21"/>
                <w:highlight w:val="none"/>
                <w:lang w:val="en-US"/>
                <w14:textFill>
                  <w14:solidFill>
                    <w14:schemeClr w14:val="tx1"/>
                  </w14:solidFill>
                </w14:textFill>
              </w:rPr>
              <w:t>公司便利店管理部</w:t>
            </w:r>
            <w:r>
              <w:rPr>
                <w:rFonts w:hint="eastAsia"/>
                <w:color w:val="000000" w:themeColor="text1"/>
                <w:sz w:val="21"/>
                <w:szCs w:val="21"/>
                <w:highlight w:val="none"/>
                <w:lang w:val="en-US"/>
                <w14:textFill>
                  <w14:solidFill>
                    <w14:schemeClr w14:val="tx1"/>
                  </w14:solidFill>
                </w14:textFill>
              </w:rPr>
              <w:t>（</w:t>
            </w:r>
            <w:r>
              <w:rPr>
                <w:color w:val="000000" w:themeColor="text1"/>
                <w:sz w:val="21"/>
                <w:szCs w:val="21"/>
                <w:highlight w:val="none"/>
                <w:lang w:val="en-US"/>
                <w14:textFill>
                  <w14:solidFill>
                    <w14:schemeClr w14:val="tx1"/>
                  </w14:solidFill>
                </w14:textFill>
              </w:rPr>
              <w:t>便利店家具）、经营部</w:t>
            </w:r>
            <w:r>
              <w:rPr>
                <w:rFonts w:hint="eastAsia"/>
                <w:color w:val="000000" w:themeColor="text1"/>
                <w:sz w:val="21"/>
                <w:szCs w:val="21"/>
                <w:highlight w:val="none"/>
                <w:lang w:val="en-US"/>
                <w14:textFill>
                  <w14:solidFill>
                    <w14:schemeClr w14:val="tx1"/>
                  </w14:solidFill>
                </w14:textFill>
              </w:rPr>
              <w:t>（</w:t>
            </w:r>
            <w:r>
              <w:rPr>
                <w:color w:val="000000" w:themeColor="text1"/>
                <w:sz w:val="21"/>
                <w:szCs w:val="21"/>
                <w:highlight w:val="none"/>
                <w:lang w:val="en-US"/>
                <w14:textFill>
                  <w14:solidFill>
                    <w14:schemeClr w14:val="tx1"/>
                  </w14:solidFill>
                </w14:textFill>
              </w:rPr>
              <w:t>客房家具）及组宣人事部</w:t>
            </w:r>
            <w:r>
              <w:rPr>
                <w:rFonts w:hint="eastAsia"/>
                <w:color w:val="000000" w:themeColor="text1"/>
                <w:sz w:val="21"/>
                <w:szCs w:val="21"/>
                <w:highlight w:val="none"/>
                <w:lang w:val="en-US"/>
                <w14:textFill>
                  <w14:solidFill>
                    <w14:schemeClr w14:val="tx1"/>
                  </w14:solidFill>
                </w14:textFill>
              </w:rPr>
              <w:t>（</w:t>
            </w:r>
            <w:r>
              <w:rPr>
                <w:color w:val="000000" w:themeColor="text1"/>
                <w:sz w:val="21"/>
                <w:szCs w:val="21"/>
                <w:highlight w:val="none"/>
                <w:lang w:val="en-US"/>
                <w14:textFill>
                  <w14:solidFill>
                    <w14:schemeClr w14:val="tx1"/>
                  </w14:solidFill>
                </w14:textFill>
              </w:rPr>
              <w:t>青年之家家具）办理合同</w:t>
            </w:r>
            <w:r>
              <w:rPr>
                <w:rFonts w:hint="eastAsia"/>
                <w:color w:val="000000" w:themeColor="text1"/>
                <w:sz w:val="21"/>
                <w:szCs w:val="21"/>
                <w:highlight w:val="none"/>
                <w:lang w:val="en-US"/>
                <w14:textFill>
                  <w14:solidFill>
                    <w14:schemeClr w14:val="tx1"/>
                  </w14:solidFill>
                </w14:textFill>
              </w:rPr>
              <w:t>签订、供货</w:t>
            </w:r>
            <w:r>
              <w:rPr>
                <w:color w:val="000000" w:themeColor="text1"/>
                <w:sz w:val="21"/>
                <w:szCs w:val="21"/>
                <w:highlight w:val="none"/>
                <w:lang w:val="en-US"/>
                <w14:textFill>
                  <w14:solidFill>
                    <w14:schemeClr w14:val="tx1"/>
                  </w14:solidFill>
                </w14:textFill>
              </w:rPr>
              <w:t>安装及验收结算</w:t>
            </w:r>
            <w:r>
              <w:rPr>
                <w:rFonts w:hint="eastAsia"/>
                <w:color w:val="000000" w:themeColor="text1"/>
                <w:sz w:val="21"/>
                <w:szCs w:val="21"/>
                <w:highlight w:val="none"/>
                <w:lang w:val="en-US"/>
                <w14:textFill>
                  <w14:solidFill>
                    <w14:schemeClr w14:val="tx1"/>
                  </w14:solidFill>
                </w14:textFill>
              </w:rPr>
              <w:t>等</w:t>
            </w:r>
            <w:r>
              <w:rPr>
                <w:color w:val="000000" w:themeColor="text1"/>
                <w:sz w:val="21"/>
                <w:szCs w:val="21"/>
                <w:highlight w:val="none"/>
                <w:lang w:val="en-US"/>
                <w14:textFill>
                  <w14:solidFill>
                    <w14:schemeClr w14:val="tx1"/>
                  </w14:solidFill>
                </w14:textFill>
              </w:rPr>
              <w:t>相关事宜。</w:t>
            </w:r>
          </w:p>
        </w:tc>
      </w:tr>
    </w:tbl>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pStyle w:val="6"/>
        <w:numPr>
          <w:ilvl w:val="0"/>
          <w:numId w:val="1"/>
        </w:numPr>
        <w:rPr>
          <w:rFonts w:ascii="宋体" w:hAnsi="宋体" w:eastAsia="宋体"/>
          <w:b/>
          <w:color w:val="000000" w:themeColor="text1"/>
          <w:sz w:val="24"/>
          <w:szCs w:val="24"/>
          <w:highlight w:val="none"/>
          <w14:textFill>
            <w14:solidFill>
              <w14:schemeClr w14:val="tx1"/>
            </w14:solidFill>
          </w14:textFill>
        </w:rPr>
      </w:pPr>
      <w:bookmarkStart w:id="29" w:name="_Toc528058012"/>
      <w:r>
        <w:rPr>
          <w:rFonts w:hint="eastAsia" w:ascii="宋体" w:hAnsi="宋体" w:eastAsia="宋体"/>
          <w:b/>
          <w:color w:val="000000" w:themeColor="text1"/>
          <w:sz w:val="24"/>
          <w:szCs w:val="24"/>
          <w:highlight w:val="none"/>
          <w14:textFill>
            <w14:solidFill>
              <w14:schemeClr w14:val="tx1"/>
            </w14:solidFill>
          </w14:textFill>
        </w:rPr>
        <w:t>评标方法</w:t>
      </w:r>
      <w:bookmarkEnd w:id="29"/>
    </w:p>
    <w:p>
      <w:pPr>
        <w:rPr>
          <w:color w:val="000000" w:themeColor="text1"/>
          <w:highlight w:val="none"/>
          <w14:textFill>
            <w14:solidFill>
              <w14:schemeClr w14:val="tx1"/>
            </w14:solidFill>
          </w14:textFill>
        </w:rPr>
      </w:pPr>
    </w:p>
    <w:p>
      <w:pPr>
        <w:spacing w:line="360" w:lineRule="auto"/>
        <w:ind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本次评标采用经评审的最低投标价法。评审小组对满足询比文件实质性要求的响应文件，根据本章第</w:t>
      </w:r>
      <w:r>
        <w:rPr>
          <w:rFonts w:ascii="宋体" w:hAnsi="宋体"/>
          <w:color w:val="000000" w:themeColor="text1"/>
          <w:highlight w:val="none"/>
          <w14:textFill>
            <w14:solidFill>
              <w14:schemeClr w14:val="tx1"/>
            </w14:solidFill>
          </w14:textFill>
        </w:rPr>
        <w:t xml:space="preserve"> 2.2 </w:t>
      </w:r>
      <w:r>
        <w:rPr>
          <w:rFonts w:hint="eastAsia" w:ascii="宋体" w:hAnsi="宋体"/>
          <w:color w:val="000000" w:themeColor="text1"/>
          <w:highlight w:val="none"/>
          <w14:textFill>
            <w14:solidFill>
              <w14:schemeClr w14:val="tx1"/>
            </w14:solidFill>
          </w14:textFill>
        </w:rPr>
        <w:t>款规定的评标价格调整方法进行必要的价格调整，并按照经评审的价格由低到高的顺序推荐成交候选人，或根据采购人授权直接确定成交人，但报价低于其成本的除外。经评审的价格相等时，按照评标办法前附表中的规定确定成交候选人顺序。</w:t>
      </w:r>
    </w:p>
    <w:p>
      <w:pPr>
        <w:pStyle w:val="6"/>
        <w:spacing w:line="360" w:lineRule="auto"/>
        <w:rPr>
          <w:rFonts w:ascii="宋体" w:hAnsi="宋体" w:eastAsia="宋体"/>
          <w:b/>
          <w:color w:val="000000" w:themeColor="text1"/>
          <w:sz w:val="24"/>
          <w:szCs w:val="24"/>
          <w:highlight w:val="none"/>
          <w14:textFill>
            <w14:solidFill>
              <w14:schemeClr w14:val="tx1"/>
            </w14:solidFill>
          </w14:textFill>
        </w:rPr>
      </w:pPr>
      <w:bookmarkStart w:id="30" w:name="_Toc528058013"/>
      <w:r>
        <w:rPr>
          <w:rFonts w:hint="eastAsia" w:ascii="宋体" w:hAnsi="宋体" w:eastAsia="宋体"/>
          <w:b/>
          <w:color w:val="000000" w:themeColor="text1"/>
          <w:sz w:val="24"/>
          <w:szCs w:val="24"/>
          <w:highlight w:val="none"/>
          <w14:textFill>
            <w14:solidFill>
              <w14:schemeClr w14:val="tx1"/>
            </w14:solidFill>
          </w14:textFill>
        </w:rPr>
        <w:t>2. 评审标准</w:t>
      </w:r>
      <w:bookmarkEnd w:id="30"/>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2.1 初步评审标准</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2.1.1 </w:t>
      </w:r>
      <w:r>
        <w:rPr>
          <w:rFonts w:hint="eastAsia" w:ascii="宋体" w:hAnsi="宋体"/>
          <w:color w:val="000000" w:themeColor="text1"/>
          <w:highlight w:val="none"/>
          <w14:textFill>
            <w14:solidFill>
              <w14:schemeClr w14:val="tx1"/>
            </w14:solidFill>
          </w14:textFill>
        </w:rPr>
        <w:t>形式评审标准：见评标办法前附表。</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2.1.2 </w:t>
      </w:r>
      <w:r>
        <w:rPr>
          <w:rFonts w:hint="eastAsia" w:ascii="宋体" w:hAnsi="宋体"/>
          <w:color w:val="000000" w:themeColor="text1"/>
          <w:highlight w:val="none"/>
          <w14:textFill>
            <w14:solidFill>
              <w14:schemeClr w14:val="tx1"/>
            </w14:solidFill>
          </w14:textFill>
        </w:rPr>
        <w:t>资格评审标准：见评标办法前附表。</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2.1.3 </w:t>
      </w:r>
      <w:r>
        <w:rPr>
          <w:rFonts w:hint="eastAsia" w:ascii="宋体" w:hAnsi="宋体"/>
          <w:color w:val="000000" w:themeColor="text1"/>
          <w:highlight w:val="none"/>
          <w14:textFill>
            <w14:solidFill>
              <w14:schemeClr w14:val="tx1"/>
            </w14:solidFill>
          </w14:textFill>
        </w:rPr>
        <w:t>响应性评审标准：见评标办法前附表。</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2.2详细评审标准</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详细评审标准：见评标办法前附表。</w:t>
      </w:r>
    </w:p>
    <w:p>
      <w:pPr>
        <w:pStyle w:val="6"/>
        <w:spacing w:line="360" w:lineRule="auto"/>
        <w:rPr>
          <w:rFonts w:ascii="宋体" w:hAnsi="宋体" w:eastAsia="宋体"/>
          <w:b/>
          <w:color w:val="000000" w:themeColor="text1"/>
          <w:sz w:val="24"/>
          <w:szCs w:val="24"/>
          <w:highlight w:val="none"/>
          <w14:textFill>
            <w14:solidFill>
              <w14:schemeClr w14:val="tx1"/>
            </w14:solidFill>
          </w14:textFill>
        </w:rPr>
      </w:pPr>
      <w:bookmarkStart w:id="31" w:name="_Toc528058014"/>
      <w:r>
        <w:rPr>
          <w:rFonts w:hint="eastAsia" w:ascii="宋体" w:hAnsi="宋体" w:eastAsia="宋体"/>
          <w:b/>
          <w:color w:val="000000" w:themeColor="text1"/>
          <w:sz w:val="24"/>
          <w:szCs w:val="24"/>
          <w:highlight w:val="none"/>
          <w14:textFill>
            <w14:solidFill>
              <w14:schemeClr w14:val="tx1"/>
            </w14:solidFill>
          </w14:textFill>
        </w:rPr>
        <w:t>3. 评标程序</w:t>
      </w:r>
      <w:bookmarkEnd w:id="31"/>
    </w:p>
    <w:p>
      <w:pPr>
        <w:pStyle w:val="7"/>
        <w:spacing w:line="360" w:lineRule="auto"/>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3.1 初步评审</w:t>
      </w:r>
    </w:p>
    <w:p>
      <w:pPr>
        <w:spacing w:line="360" w:lineRule="auto"/>
        <w:ind w:firstLine="600" w:firstLineChars="25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3.1.1 </w:t>
      </w:r>
      <w:r>
        <w:rPr>
          <w:rFonts w:hint="eastAsia" w:ascii="宋体" w:hAnsi="宋体"/>
          <w:color w:val="000000" w:themeColor="text1"/>
          <w:highlight w:val="none"/>
          <w14:textFill>
            <w14:solidFill>
              <w14:schemeClr w14:val="tx1"/>
            </w14:solidFill>
          </w14:textFill>
        </w:rPr>
        <w:t>评审小组可以要求竞标人提交第二章</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竞标人须知</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规定的有关证明和证件的原件，以便核验。评审小组依据本章第</w:t>
      </w:r>
      <w:r>
        <w:rPr>
          <w:rFonts w:ascii="宋体" w:hAnsi="宋体"/>
          <w:color w:val="000000" w:themeColor="text1"/>
          <w:highlight w:val="none"/>
          <w14:textFill>
            <w14:solidFill>
              <w14:schemeClr w14:val="tx1"/>
            </w14:solidFill>
          </w14:textFill>
        </w:rPr>
        <w:t xml:space="preserve"> 2.1 </w:t>
      </w:r>
      <w:r>
        <w:rPr>
          <w:rFonts w:hint="eastAsia" w:ascii="宋体" w:hAnsi="宋体"/>
          <w:color w:val="000000" w:themeColor="text1"/>
          <w:highlight w:val="none"/>
          <w14:textFill>
            <w14:solidFill>
              <w14:schemeClr w14:val="tx1"/>
            </w14:solidFill>
          </w14:textFill>
        </w:rPr>
        <w:t>款规定的标准对响应文件进行初步评审。有一项不符合评审标准的，评审小组应当否决其竞标。</w:t>
      </w:r>
    </w:p>
    <w:p>
      <w:pPr>
        <w:spacing w:line="360" w:lineRule="auto"/>
        <w:ind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3.1.2 </w:t>
      </w:r>
      <w:r>
        <w:rPr>
          <w:rFonts w:hint="eastAsia" w:ascii="宋体" w:hAnsi="宋体"/>
          <w:color w:val="000000" w:themeColor="text1"/>
          <w:highlight w:val="none"/>
          <w14:textFill>
            <w14:solidFill>
              <w14:schemeClr w14:val="tx1"/>
            </w14:solidFill>
          </w14:textFill>
        </w:rPr>
        <w:t>竞标人有以下情形之一的，评审小组应当否决其竞标：</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)响应文件没有对询比文件的实质性要求和条件作出响应</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或者对询比文件的偏差超出询比文件规定的偏差范围或最高项数；</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)有串通投标、弄虚作假、行贿等违法行为。</w:t>
      </w:r>
    </w:p>
    <w:p>
      <w:pPr>
        <w:spacing w:line="360" w:lineRule="auto"/>
        <w:ind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3.1.3 </w:t>
      </w:r>
      <w:r>
        <w:rPr>
          <w:rFonts w:hint="eastAsia" w:ascii="宋体" w:hAnsi="宋体"/>
          <w:color w:val="000000" w:themeColor="text1"/>
          <w:highlight w:val="none"/>
          <w14:textFill>
            <w14:solidFill>
              <w14:schemeClr w14:val="tx1"/>
            </w14:solidFill>
          </w14:textFill>
        </w:rPr>
        <w:t>竞标报价有算术错误及其他错误的，评审小组按以下原则要求竞标人对竞标报价进行修正，并要求竞标人书面澄清确认。竞标人拒不澄清确认的，评审小组应当否决其竞标：</w:t>
      </w:r>
      <w:bookmarkStart w:id="32" w:name="page48"/>
      <w:bookmarkEnd w:id="32"/>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)响应文件中的大写金额与小写金额不一致的，以大写金额为准；</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w:t>
      </w:r>
      <w:r>
        <w:rPr>
          <w:rFonts w:hint="eastAsia" w:ascii="宋体" w:hAnsi="宋体"/>
          <w:color w:val="000000" w:themeColor="text1"/>
          <w:highlight w:val="none"/>
          <w14:textFill>
            <w14:solidFill>
              <w14:schemeClr w14:val="tx1"/>
            </w14:solidFill>
          </w14:textFill>
        </w:rPr>
        <w:t>)总价金额与单价金额不一致的，以单价金额为准，但单价金额小数点有明显错误的除外；</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w:t>
      </w:r>
      <w:r>
        <w:rPr>
          <w:rFonts w:hint="eastAsia" w:ascii="宋体" w:hAnsi="宋体"/>
          <w:color w:val="000000" w:themeColor="text1"/>
          <w:highlight w:val="none"/>
          <w14:textFill>
            <w14:solidFill>
              <w14:schemeClr w14:val="tx1"/>
            </w14:solidFill>
          </w14:textFill>
        </w:rPr>
        <w:t>)竞标报价为各分项报价金额之和，竞标报价与分项报价的合价不一致的，应以各分项合价累计数为准，修正竞标报价；</w:t>
      </w:r>
    </w:p>
    <w:p>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4</w:t>
      </w:r>
      <w:r>
        <w:rPr>
          <w:rFonts w:hint="eastAsia" w:ascii="宋体" w:hAnsi="宋体"/>
          <w:color w:val="000000" w:themeColor="text1"/>
          <w:highlight w:val="none"/>
          <w14:textFill>
            <w14:solidFill>
              <w14:schemeClr w14:val="tx1"/>
            </w14:solidFill>
          </w14:textFill>
        </w:rPr>
        <w:t>)如果分项报价中存在缺漏项，则视为缺漏项价格已包含在其他分项报价之中。</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3.2 详细评审</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3.2.1 </w:t>
      </w:r>
      <w:r>
        <w:rPr>
          <w:rFonts w:hint="eastAsia" w:ascii="宋体" w:hAnsi="宋体"/>
          <w:color w:val="000000" w:themeColor="text1"/>
          <w:highlight w:val="none"/>
          <w14:textFill>
            <w14:solidFill>
              <w14:schemeClr w14:val="tx1"/>
            </w14:solidFill>
          </w14:textFill>
        </w:rPr>
        <w:t>评审小组发现竞标人的报价明显低于其他竞标报价，使得其竞标报价可能低于其成本的，应当要求该竞标人作出书面说明并提供相应的证明产品。竞标人不能合理说明或者不能提供相应证明产品的，由评审小组认定竞标人以低于成本报价竞标，并否决其竞标。</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3.3 响应文件的澄清</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3.3.1</w:t>
      </w:r>
      <w:r>
        <w:rPr>
          <w:rFonts w:hint="eastAsia" w:ascii="宋体" w:hAnsi="宋体"/>
          <w:color w:val="000000" w:themeColor="text1"/>
          <w:highlight w:val="none"/>
          <w14:textFill>
            <w14:solidFill>
              <w14:schemeClr w14:val="tx1"/>
            </w14:solidFill>
          </w14:textFill>
        </w:rPr>
        <w:t xml:space="preserve"> 在评标过程中，评审小组可以书面形式要求竞标人对响应文件中含义不明确、对同类问题表述不一致或者有明显文字和计算错误的内容作必要的澄清、说明或补正。澄清、说明或补正应以书面方式进行。评审小组不接受竞标人主动提出的澄清、说明或补正。</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3.3.2</w:t>
      </w:r>
      <w:r>
        <w:rPr>
          <w:rFonts w:hint="eastAsia" w:ascii="宋体" w:hAnsi="宋体"/>
          <w:color w:val="000000" w:themeColor="text1"/>
          <w:highlight w:val="none"/>
          <w14:textFill>
            <w14:solidFill>
              <w14:schemeClr w14:val="tx1"/>
            </w14:solidFill>
          </w14:textFill>
        </w:rPr>
        <w:t xml:space="preserve"> 澄清、说明或补正不得超出响应文件的范围且不得改变响应文件的实质性内容，并构成响应文件的组成部分。</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3.3.3</w:t>
      </w:r>
      <w:r>
        <w:rPr>
          <w:rFonts w:hint="eastAsia" w:ascii="宋体" w:hAnsi="宋体"/>
          <w:color w:val="000000" w:themeColor="text1"/>
          <w:highlight w:val="none"/>
          <w14:textFill>
            <w14:solidFill>
              <w14:schemeClr w14:val="tx1"/>
            </w14:solidFill>
          </w14:textFill>
        </w:rPr>
        <w:t xml:space="preserve"> 评审小组对竞标人提交的澄清、说明或补正有疑问的，可以要求竞标人进一步澄清、说明或补正，直至满足评审小组的要求。</w:t>
      </w:r>
    </w:p>
    <w:p>
      <w:pPr>
        <w:pStyle w:val="7"/>
        <w:spacing w:line="36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3.4 评标结果</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3.4.1</w:t>
      </w:r>
      <w:r>
        <w:rPr>
          <w:rFonts w:hint="eastAsia" w:ascii="宋体" w:hAnsi="宋体"/>
          <w:color w:val="000000" w:themeColor="text1"/>
          <w:highlight w:val="none"/>
          <w14:textFill>
            <w14:solidFill>
              <w14:schemeClr w14:val="tx1"/>
            </w14:solidFill>
          </w14:textFill>
        </w:rPr>
        <w:t xml:space="preserve"> 评审小组按照经评审的价格由低到高的顺序推荐成交候选人，并标明排序。</w:t>
      </w:r>
    </w:p>
    <w:p>
      <w:pPr>
        <w:spacing w:line="360" w:lineRule="auto"/>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3.4.2 </w:t>
      </w:r>
      <w:r>
        <w:rPr>
          <w:rFonts w:hint="eastAsia" w:ascii="宋体" w:hAnsi="宋体"/>
          <w:color w:val="000000" w:themeColor="text1"/>
          <w:highlight w:val="none"/>
          <w14:textFill>
            <w14:solidFill>
              <w14:schemeClr w14:val="tx1"/>
            </w14:solidFill>
          </w14:textFill>
        </w:rPr>
        <w:t>评审小组完成评标后，应当向采购人提交书面评审报告和成交候选人名单。</w:t>
      </w:r>
    </w:p>
    <w:p>
      <w:pPr>
        <w:snapToGrid w:val="0"/>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w:t>
      </w:r>
      <w:r>
        <w:rPr>
          <w:rFonts w:ascii="宋体" w:hAnsi="宋体" w:cs="宋体"/>
          <w:color w:val="000000" w:themeColor="text1"/>
          <w:highlight w:val="none"/>
          <w14:textFill>
            <w14:solidFill>
              <w14:schemeClr w14:val="tx1"/>
            </w14:solidFill>
          </w14:textFill>
        </w:rPr>
        <w:t>资格审查</w:t>
      </w:r>
    </w:p>
    <w:p>
      <w:pPr>
        <w:pStyle w:val="9"/>
        <w:spacing w:line="240" w:lineRule="auto"/>
        <w:rPr>
          <w:rFonts w:ascii="宋体" w:hAnsi="宋体"/>
          <w:color w:val="000000" w:themeColor="text1"/>
          <w:szCs w:val="24"/>
          <w:highlight w:val="none"/>
          <w14:textFill>
            <w14:solidFill>
              <w14:schemeClr w14:val="tx1"/>
            </w14:solidFill>
          </w14:textFill>
        </w:rPr>
      </w:pPr>
    </w:p>
    <w:p>
      <w:pPr>
        <w:pStyle w:val="9"/>
        <w:spacing w:line="240" w:lineRule="auto"/>
        <w:rPr>
          <w:rFonts w:ascii="宋体" w:hAnsi="宋体"/>
          <w:color w:val="000000" w:themeColor="text1"/>
          <w:szCs w:val="24"/>
          <w:highlight w:val="none"/>
          <w14:textFill>
            <w14:solidFill>
              <w14:schemeClr w14:val="tx1"/>
            </w14:solidFill>
          </w14:textFill>
        </w:rPr>
      </w:pPr>
    </w:p>
    <w:p>
      <w:pPr>
        <w:pStyle w:val="9"/>
        <w:spacing w:line="240" w:lineRule="auto"/>
        <w:rPr>
          <w:rFonts w:ascii="宋体" w:hAnsi="宋体"/>
          <w:b/>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附录1 资格审查条件（资质最低条件）</w:t>
      </w:r>
    </w:p>
    <w:tbl>
      <w:tblPr>
        <w:tblStyle w:val="19"/>
        <w:tblpPr w:leftFromText="180" w:rightFromText="180" w:vertAnchor="text" w:horzAnchor="margin" w:tblpXSpec="center" w:tblpY="34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86" w:type="dxa"/>
            <w:vAlign w:val="center"/>
          </w:tcPr>
          <w:p>
            <w:pPr>
              <w:tabs>
                <w:tab w:val="left" w:pos="2300"/>
                <w:tab w:val="left" w:pos="5660"/>
              </w:tabs>
              <w:autoSpaceDE w:val="0"/>
              <w:autoSpaceDN w:val="0"/>
              <w:adjustRightInd w:val="0"/>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资 质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286" w:type="dxa"/>
            <w:vAlign w:val="center"/>
          </w:tcPr>
          <w:p>
            <w:pPr>
              <w:adjustRightInd w:val="0"/>
              <w:snapToGrid w:val="0"/>
              <w:spacing w:line="30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具备独立法人资格、有效营业执照，能提供所投产品的供货商</w:t>
            </w:r>
          </w:p>
        </w:tc>
      </w:tr>
    </w:tbl>
    <w:p>
      <w:pPr>
        <w:adjustRightInd w:val="0"/>
        <w:snapToGrid w:val="0"/>
        <w:spacing w:line="300" w:lineRule="auto"/>
        <w:rPr>
          <w:rFonts w:ascii="宋体" w:hAnsi="宋体" w:cs="宋体"/>
          <w:color w:val="000000" w:themeColor="text1"/>
          <w:highlight w:val="none"/>
          <w14:textFill>
            <w14:solidFill>
              <w14:schemeClr w14:val="tx1"/>
            </w14:solidFill>
          </w14:textFill>
        </w:rPr>
      </w:pPr>
    </w:p>
    <w:p>
      <w:pPr>
        <w:pStyle w:val="11"/>
        <w:rPr>
          <w:rFonts w:hAnsi="宋体" w:cs="宋体"/>
          <w:color w:val="000000" w:themeColor="text1"/>
          <w:highlight w:val="none"/>
          <w14:textFill>
            <w14:solidFill>
              <w14:schemeClr w14:val="tx1"/>
            </w14:solidFill>
          </w14:textFill>
        </w:rPr>
      </w:pPr>
    </w:p>
    <w:p>
      <w:pPr>
        <w:pStyle w:val="11"/>
        <w:rPr>
          <w:rFonts w:hAnsi="宋体" w:cs="宋体"/>
          <w:color w:val="000000" w:themeColor="text1"/>
          <w:highlight w:val="none"/>
          <w14:textFill>
            <w14:solidFill>
              <w14:schemeClr w14:val="tx1"/>
            </w14:solidFill>
          </w14:textFill>
        </w:rPr>
      </w:pPr>
    </w:p>
    <w:p>
      <w:pPr>
        <w:adjustRightInd w:val="0"/>
        <w:snapToGrid w:val="0"/>
        <w:spacing w:line="30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附录2 资格审查条件（业绩最低要求）</w:t>
      </w:r>
    </w:p>
    <w:p>
      <w:pPr>
        <w:pStyle w:val="11"/>
        <w:rPr>
          <w:color w:val="000000" w:themeColor="text1"/>
          <w:highlight w:val="none"/>
          <w14:textFill>
            <w14:solidFill>
              <w14:schemeClr w14:val="tx1"/>
            </w14:solidFill>
          </w14:textFill>
        </w:rPr>
      </w:pPr>
    </w:p>
    <w:tbl>
      <w:tblPr>
        <w:tblStyle w:val="19"/>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9320" w:type="dxa"/>
            <w:vAlign w:val="center"/>
          </w:tcPr>
          <w:p>
            <w:pPr>
              <w:adjustRightInd w:val="0"/>
              <w:snapToGrid w:val="0"/>
              <w:spacing w:line="30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近三年（2016年1月1日至今）独立完成过1个合同金额在60万元及以上的家具供货及安装业绩(提供业绩的合同协议书复印件，时间以合同协议书的签订时间为准)。</w:t>
            </w:r>
          </w:p>
        </w:tc>
      </w:tr>
    </w:tbl>
    <w:p>
      <w:pPr>
        <w:pStyle w:val="9"/>
        <w:jc w:val="both"/>
        <w:rPr>
          <w:rFonts w:ascii="宋体" w:hAnsi="宋体"/>
          <w:color w:val="000000" w:themeColor="text1"/>
          <w:szCs w:val="24"/>
          <w:highlight w:val="none"/>
          <w14:textFill>
            <w14:solidFill>
              <w14:schemeClr w14:val="tx1"/>
            </w14:solidFill>
          </w14:textFill>
        </w:rPr>
      </w:pPr>
    </w:p>
    <w:p>
      <w:pPr>
        <w:pStyle w:val="9"/>
        <w:rPr>
          <w:rFonts w:ascii="宋体" w:hAnsi="宋体"/>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附录</w:t>
      </w:r>
      <w:r>
        <w:rPr>
          <w:rFonts w:hint="eastAsia" w:ascii="宋体" w:hAnsi="宋体"/>
          <w:color w:val="000000" w:themeColor="text1"/>
          <w:szCs w:val="24"/>
          <w:highlight w:val="none"/>
          <w14:textFill>
            <w14:solidFill>
              <w14:schemeClr w14:val="tx1"/>
            </w14:solidFill>
          </w14:textFill>
        </w:rPr>
        <w:t>3</w:t>
      </w:r>
      <w:r>
        <w:rPr>
          <w:rFonts w:ascii="宋体" w:hAnsi="宋体"/>
          <w:color w:val="000000" w:themeColor="text1"/>
          <w:szCs w:val="24"/>
          <w:highlight w:val="none"/>
          <w14:textFill>
            <w14:solidFill>
              <w14:schemeClr w14:val="tx1"/>
            </w14:solidFill>
          </w14:textFill>
        </w:rPr>
        <w:t xml:space="preserve"> 资格审查条件（信誉最低要求）</w:t>
      </w:r>
    </w:p>
    <w:tbl>
      <w:tblPr>
        <w:tblStyle w:val="19"/>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368" w:type="dxa"/>
            <w:vAlign w:val="center"/>
          </w:tcPr>
          <w:p>
            <w:pPr>
              <w:adjustRightInd w:val="0"/>
              <w:snapToGrid w:val="0"/>
              <w:spacing w:line="30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信 誉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9368" w:type="dxa"/>
            <w:vAlign w:val="center"/>
          </w:tcPr>
          <w:p>
            <w:pPr>
              <w:adjustRightInd w:val="0"/>
              <w:snapToGrid w:val="0"/>
              <w:spacing w:line="30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没有在“信用中国”网站(http://www.creditchina.gov.cn)中被列入失信被执行人名单。</w:t>
            </w:r>
          </w:p>
        </w:tc>
      </w:tr>
      <w:bookmarkEnd w:id="25"/>
      <w:bookmarkEnd w:id="26"/>
      <w:bookmarkEnd w:id="27"/>
      <w:bookmarkEnd w:id="28"/>
    </w:tbl>
    <w:p>
      <w:pPr>
        <w:pStyle w:val="37"/>
        <w:spacing w:before="0" w:line="360" w:lineRule="auto"/>
        <w:outlineLvl w:val="9"/>
        <w:rPr>
          <w:rFonts w:ascii="宋体" w:hAnsi="宋体" w:cs="仿宋"/>
          <w:color w:val="000000" w:themeColor="text1"/>
          <w:sz w:val="24"/>
          <w:szCs w:val="24"/>
          <w:highlight w:val="none"/>
          <w14:textFill>
            <w14:solidFill>
              <w14:schemeClr w14:val="tx1"/>
            </w14:solidFill>
          </w14:textFill>
        </w:rPr>
        <w:sectPr>
          <w:headerReference r:id="rId14" w:type="default"/>
          <w:footerReference r:id="rId15" w:type="default"/>
          <w:pgSz w:w="11906" w:h="16838"/>
          <w:pgMar w:top="1304" w:right="1418" w:bottom="1304" w:left="1644" w:header="851" w:footer="850" w:gutter="0"/>
          <w:pgNumType w:start="11"/>
          <w:cols w:space="720" w:num="1"/>
          <w:docGrid w:linePitch="312" w:charSpace="0"/>
        </w:sectPr>
      </w:pPr>
    </w:p>
    <w:p>
      <w:pPr>
        <w:pStyle w:val="5"/>
        <w:rPr>
          <w:rFonts w:ascii="宋体" w:hAnsi="宋体" w:eastAsia="宋体"/>
          <w:color w:val="000000" w:themeColor="text1"/>
          <w:szCs w:val="22"/>
          <w:highlight w:val="none"/>
          <w14:textFill>
            <w14:solidFill>
              <w14:schemeClr w14:val="tx1"/>
            </w14:solidFill>
          </w14:textFill>
        </w:rPr>
      </w:pPr>
      <w:bookmarkStart w:id="33" w:name="_Toc16585720"/>
      <w:bookmarkStart w:id="34" w:name="_Toc1958"/>
      <w:bookmarkStart w:id="35" w:name="_Toc594"/>
      <w:bookmarkStart w:id="36" w:name="_Toc189369360"/>
      <w:r>
        <w:rPr>
          <w:rFonts w:ascii="宋体" w:hAnsi="宋体" w:eastAsia="宋体"/>
          <w:color w:val="000000" w:themeColor="text1"/>
          <w:szCs w:val="22"/>
          <w:highlight w:val="none"/>
          <w14:textFill>
            <w14:solidFill>
              <w14:schemeClr w14:val="tx1"/>
            </w14:solidFill>
          </w14:textFill>
        </w:rPr>
        <w:t>第四章  合同条款及格式</w:t>
      </w:r>
      <w:bookmarkEnd w:id="33"/>
      <w:bookmarkEnd w:id="34"/>
      <w:bookmarkEnd w:id="35"/>
    </w:p>
    <w:bookmarkEnd w:id="36"/>
    <w:p>
      <w:pPr>
        <w:snapToGrid w:val="0"/>
        <w:spacing w:line="400" w:lineRule="atLeast"/>
        <w:jc w:val="center"/>
        <w:rPr>
          <w:rFonts w:eastAsia="黑体"/>
          <w:color w:val="000000" w:themeColor="text1"/>
          <w:sz w:val="32"/>
          <w:szCs w:val="32"/>
          <w:highlight w:val="none"/>
          <w14:textFill>
            <w14:solidFill>
              <w14:schemeClr w14:val="tx1"/>
            </w14:solidFill>
          </w14:textFill>
        </w:rPr>
      </w:pPr>
      <w:bookmarkStart w:id="37" w:name="page50"/>
      <w:bookmarkEnd w:id="37"/>
      <w:bookmarkStart w:id="38" w:name="_Toc22243"/>
      <w:bookmarkStart w:id="39" w:name="_Toc6086"/>
      <w:r>
        <w:rPr>
          <w:rFonts w:hint="eastAsia" w:eastAsia="黑体"/>
          <w:color w:val="000000" w:themeColor="text1"/>
          <w:sz w:val="32"/>
          <w:szCs w:val="32"/>
          <w:highlight w:val="none"/>
          <w14:textFill>
            <w14:solidFill>
              <w14:schemeClr w14:val="tx1"/>
            </w14:solidFill>
          </w14:textFill>
        </w:rPr>
        <w:t>服务区*************合同</w:t>
      </w:r>
    </w:p>
    <w:p>
      <w:pPr>
        <w:spacing w:line="360" w:lineRule="auto"/>
        <w:jc w:val="center"/>
        <w:rPr>
          <w:rFonts w:ascii="宋体" w:hAnsi="宋体"/>
          <w:b/>
          <w:color w:val="000000" w:themeColor="text1"/>
          <w:spacing w:val="312"/>
          <w:kern w:val="6"/>
          <w:sz w:val="44"/>
          <w:highlight w:val="none"/>
          <w14:textFill>
            <w14:solidFill>
              <w14:schemeClr w14:val="tx1"/>
            </w14:solidFill>
          </w14:textFill>
        </w:rPr>
      </w:pPr>
    </w:p>
    <w:p>
      <w:pPr>
        <w:spacing w:line="360" w:lineRule="auto"/>
        <w:ind w:firstLine="420" w:firstLineChars="95"/>
        <w:rPr>
          <w:rFonts w:ascii="宋体" w:hAnsi="宋体"/>
          <w:b/>
          <w:color w:val="000000" w:themeColor="text1"/>
          <w:sz w:val="44"/>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28" w:firstLineChars="95"/>
        <w:rPr>
          <w:rFonts w:ascii="宋体" w:hAnsi="宋体"/>
          <w:color w:val="000000" w:themeColor="text1"/>
          <w:highlight w:val="none"/>
          <w14:textFill>
            <w14:solidFill>
              <w14:schemeClr w14:val="tx1"/>
            </w14:solidFill>
          </w14:textFill>
        </w:rPr>
      </w:pPr>
    </w:p>
    <w:p>
      <w:pPr>
        <w:spacing w:line="360" w:lineRule="auto"/>
        <w:ind w:firstLine="266" w:firstLineChars="95"/>
        <w:rPr>
          <w:rFonts w:ascii="宋体" w:hAnsi="宋体"/>
          <w:color w:val="000000" w:themeColor="text1"/>
          <w:sz w:val="28"/>
          <w:highlight w:val="none"/>
          <w14:textFill>
            <w14:solidFill>
              <w14:schemeClr w14:val="tx1"/>
            </w14:solidFill>
          </w14:textFill>
        </w:rPr>
      </w:pPr>
    </w:p>
    <w:p>
      <w:pPr>
        <w:spacing w:line="360" w:lineRule="auto"/>
        <w:ind w:firstLine="1383" w:firstLineChars="494"/>
        <w:rPr>
          <w:rFonts w:ascii="宋体" w:hAnsi="宋体"/>
          <w:color w:val="000000" w:themeColor="text1"/>
          <w:sz w:val="28"/>
          <w:highlight w:val="none"/>
          <w:u w:val="singl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甲    方：</w:t>
      </w:r>
      <w:r>
        <w:rPr>
          <w:rFonts w:hint="eastAsia" w:ascii="宋体" w:hAnsi="宋体"/>
          <w:color w:val="000000" w:themeColor="text1"/>
          <w:sz w:val="28"/>
          <w:highlight w:val="none"/>
          <w:u w:val="single"/>
          <w14:textFill>
            <w14:solidFill>
              <w14:schemeClr w14:val="tx1"/>
            </w14:solidFill>
          </w14:textFill>
        </w:rPr>
        <w:t xml:space="preserve">                                 </w:t>
      </w:r>
      <w:r>
        <w:rPr>
          <w:rFonts w:hint="eastAsia" w:ascii="宋体" w:hAnsi="宋体"/>
          <w:color w:val="000000" w:themeColor="text1"/>
          <w:sz w:val="28"/>
          <w:highlight w:val="none"/>
          <w14:textFill>
            <w14:solidFill>
              <w14:schemeClr w14:val="tx1"/>
            </w14:solidFill>
          </w14:textFill>
        </w:rPr>
        <w:t xml:space="preserve">                                                                </w:t>
      </w:r>
    </w:p>
    <w:p>
      <w:pPr>
        <w:adjustRightInd w:val="0"/>
        <w:snapToGrid w:val="0"/>
        <w:spacing w:line="360" w:lineRule="auto"/>
        <w:ind w:firstLine="1383" w:firstLineChars="494"/>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乙    方：_________________________________</w:t>
      </w:r>
    </w:p>
    <w:p>
      <w:pPr>
        <w:adjustRightInd w:val="0"/>
        <w:snapToGrid w:val="0"/>
        <w:spacing w:line="360" w:lineRule="auto"/>
        <w:ind w:firstLine="1383" w:firstLineChars="494"/>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 xml:space="preserve">签订地点: </w:t>
      </w:r>
      <w:r>
        <w:rPr>
          <w:rFonts w:hint="eastAsia" w:ascii="宋体" w:hAnsi="宋体"/>
          <w:color w:val="000000" w:themeColor="text1"/>
          <w:sz w:val="28"/>
          <w:highlight w:val="none"/>
          <w:u w:val="single"/>
          <w14:textFill>
            <w14:solidFill>
              <w14:schemeClr w14:val="tx1"/>
            </w14:solidFill>
          </w14:textFill>
        </w:rPr>
        <w:t xml:space="preserve">                                 </w:t>
      </w:r>
      <w:r>
        <w:rPr>
          <w:rFonts w:hint="eastAsia" w:ascii="宋体" w:hAnsi="宋体"/>
          <w:color w:val="000000" w:themeColor="text1"/>
          <w:sz w:val="28"/>
          <w:highlight w:val="none"/>
          <w14:textFill>
            <w14:solidFill>
              <w14:schemeClr w14:val="tx1"/>
            </w14:solidFill>
          </w14:textFill>
        </w:rPr>
        <w:t xml:space="preserve">                                           </w:t>
      </w:r>
    </w:p>
    <w:p>
      <w:pPr>
        <w:spacing w:line="360" w:lineRule="auto"/>
        <w:ind w:firstLine="1383" w:firstLineChars="494"/>
        <w:rPr>
          <w:rFonts w:ascii="宋体" w:hAnsi="宋体"/>
          <w:color w:val="000000" w:themeColor="text1"/>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 xml:space="preserve">签订日期: </w:t>
      </w:r>
      <w:r>
        <w:rPr>
          <w:rFonts w:hint="eastAsia" w:ascii="宋体" w:hAnsi="宋体"/>
          <w:color w:val="000000" w:themeColor="text1"/>
          <w:sz w:val="28"/>
          <w:highlight w:val="none"/>
          <w:u w:val="single"/>
          <w14:textFill>
            <w14:solidFill>
              <w14:schemeClr w14:val="tx1"/>
            </w14:solidFill>
          </w14:textFill>
        </w:rPr>
        <w:t xml:space="preserve">                                 </w:t>
      </w:r>
      <w:r>
        <w:rPr>
          <w:rFonts w:hint="eastAsia" w:ascii="宋体" w:hAnsi="宋体"/>
          <w:color w:val="000000" w:themeColor="text1"/>
          <w:sz w:val="28"/>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spacing w:line="360" w:lineRule="auto"/>
        <w:ind w:firstLine="229" w:firstLineChars="95"/>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 xml:space="preserve"> </w:t>
      </w: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ind w:firstLine="229" w:firstLineChars="95"/>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spacing w:line="360" w:lineRule="auto"/>
        <w:rPr>
          <w:rFonts w:ascii="宋体" w:hAnsi="宋体"/>
          <w:b/>
          <w:color w:val="000000" w:themeColor="text1"/>
          <w:highlight w:val="none"/>
          <w14:textFill>
            <w14:solidFill>
              <w14:schemeClr w14:val="tx1"/>
            </w14:solidFill>
          </w14:textFill>
        </w:rPr>
      </w:pPr>
    </w:p>
    <w:p>
      <w:pPr>
        <w:ind w:firstLine="723" w:firstLineChars="200"/>
        <w:jc w:val="center"/>
        <w:rPr>
          <w:rFonts w:hint="eastAsia" w:ascii="宋体" w:hAnsi="宋体" w:eastAsia="宋体"/>
          <w:b/>
          <w:color w:val="000000" w:themeColor="text1"/>
          <w:sz w:val="36"/>
          <w:highlight w:val="none"/>
          <w:lang w:eastAsia="zh-CN"/>
          <w14:textFill>
            <w14:solidFill>
              <w14:schemeClr w14:val="tx1"/>
            </w14:solidFill>
          </w14:textFill>
        </w:rPr>
      </w:pPr>
      <w:r>
        <w:rPr>
          <w:rFonts w:hint="eastAsia" w:ascii="宋体" w:hAnsi="宋体"/>
          <w:b/>
          <w:color w:val="000000" w:themeColor="text1"/>
          <w:sz w:val="36"/>
          <w:highlight w:val="none"/>
          <w:lang w:eastAsia="zh-CN"/>
          <w14:textFill>
            <w14:solidFill>
              <w14:schemeClr w14:val="tx1"/>
            </w14:solidFill>
          </w14:textFill>
        </w:rPr>
        <w:t>2019年度驿达公司服务区便利店、客房及青年之家家具采购及安装项目（二次）</w:t>
      </w:r>
    </w:p>
    <w:p>
      <w:pPr>
        <w:pStyle w:val="11"/>
        <w:rPr>
          <w:color w:val="000000" w:themeColor="text1"/>
          <w:highlight w:val="none"/>
          <w14:textFill>
            <w14:solidFill>
              <w14:schemeClr w14:val="tx1"/>
            </w14:solidFill>
          </w14:textFill>
        </w:rPr>
      </w:pPr>
    </w:p>
    <w:p>
      <w:pPr>
        <w:ind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甲方：安徽省驿达高速公路服务区经营管理有限</w:t>
      </w:r>
      <w:r>
        <w:rPr>
          <w:rFonts w:hint="eastAsia" w:ascii="宋体" w:hAnsi="宋体"/>
          <w:color w:val="000000" w:themeColor="text1"/>
          <w:highlight w:val="none"/>
          <w14:textFill>
            <w14:solidFill>
              <w14:schemeClr w14:val="tx1"/>
            </w14:solidFill>
          </w14:textFill>
        </w:rPr>
        <w:t>公司</w:t>
      </w:r>
    </w:p>
    <w:p>
      <w:pPr>
        <w:spacing w:line="384" w:lineRule="exact"/>
        <w:ind w:right="3146" w:firstLine="48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乙方：</w:t>
      </w:r>
    </w:p>
    <w:p>
      <w:pPr>
        <w:spacing w:line="200" w:lineRule="exact"/>
        <w:rPr>
          <w:rFonts w:ascii="Times New Roman" w:hAnsi="Times New Roman" w:eastAsia="Times New Roman"/>
          <w:color w:val="000000" w:themeColor="text1"/>
          <w:highlight w:val="none"/>
          <w14:textFill>
            <w14:solidFill>
              <w14:schemeClr w14:val="tx1"/>
            </w14:solidFill>
          </w14:textFill>
        </w:rPr>
      </w:pPr>
    </w:p>
    <w:p>
      <w:pPr>
        <w:spacing w:line="311"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经甲乙双方友好协商，就</w:t>
      </w:r>
      <w:r>
        <w:rPr>
          <w:rFonts w:hint="eastAsia" w:ascii="宋体" w:hAnsi="宋体"/>
          <w:color w:val="000000" w:themeColor="text1"/>
          <w:highlight w:val="none"/>
          <w:lang w:eastAsia="zh-CN"/>
          <w14:textFill>
            <w14:solidFill>
              <w14:schemeClr w14:val="tx1"/>
            </w14:solidFill>
          </w14:textFill>
        </w:rPr>
        <w:t>2019年度驿达公司服务区便利店、客房及青年之家家具采购及安装项目（二次）</w:t>
      </w:r>
      <w:r>
        <w:rPr>
          <w:rFonts w:ascii="宋体" w:hAnsi="宋体"/>
          <w:color w:val="000000" w:themeColor="text1"/>
          <w:highlight w:val="none"/>
          <w14:textFill>
            <w14:solidFill>
              <w14:schemeClr w14:val="tx1"/>
            </w14:solidFill>
          </w14:textFill>
        </w:rPr>
        <w:t>达成协议如下：</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1、合同概况：</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szCs w:val="22"/>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1.1 合同内容：</w:t>
      </w:r>
      <w:r>
        <w:rPr>
          <w:rFonts w:hint="eastAsia" w:ascii="宋体" w:hAnsi="宋体"/>
          <w:color w:val="000000" w:themeColor="text1"/>
          <w:szCs w:val="22"/>
          <w:highlight w:val="none"/>
          <w:lang w:eastAsia="zh-CN"/>
          <w14:textFill>
            <w14:solidFill>
              <w14:schemeClr w14:val="tx1"/>
            </w14:solidFill>
          </w14:textFill>
        </w:rPr>
        <w:t>2019年度驿达公司服务区便利店、客房及青年之家家具采购及安装项目（二次）</w:t>
      </w:r>
      <w:r>
        <w:rPr>
          <w:rFonts w:hint="eastAsia" w:ascii="宋体" w:hAnsi="宋体"/>
          <w:color w:val="000000" w:themeColor="text1"/>
          <w:szCs w:val="22"/>
          <w:highlight w:val="none"/>
          <w14:textFill>
            <w14:solidFill>
              <w14:schemeClr w14:val="tx1"/>
            </w14:solidFill>
          </w14:textFill>
        </w:rPr>
        <w:t>）</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 合同总价款：</w:t>
      </w:r>
      <w:r>
        <w:rPr>
          <w:rFonts w:hint="eastAsia"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元）</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注：该价款包含人工费、运费费、税金等一切费用。</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2、供货：</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388" w:lineRule="exact"/>
        <w:ind w:left="360" w:right="366" w:firstLine="571"/>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供货内容：详见请见附件一《</w:t>
      </w:r>
      <w:r>
        <w:rPr>
          <w:rFonts w:hint="eastAsia" w:ascii="宋体" w:hAnsi="宋体"/>
          <w:color w:val="000000" w:themeColor="text1"/>
          <w:szCs w:val="22"/>
          <w:highlight w:val="none"/>
          <w:lang w:eastAsia="zh-CN"/>
          <w14:textFill>
            <w14:solidFill>
              <w14:schemeClr w14:val="tx1"/>
            </w14:solidFill>
          </w14:textFill>
        </w:rPr>
        <w:t>2019年度驿达公司服务区便利店、客房及青年之家家具采购及安装项目（二次）</w:t>
      </w:r>
      <w:r>
        <w:rPr>
          <w:rFonts w:hint="eastAsia" w:ascii="宋体" w:hAnsi="宋体"/>
          <w:color w:val="000000" w:themeColor="text1"/>
          <w:szCs w:val="22"/>
          <w:highlight w:val="none"/>
          <w14:textFill>
            <w14:solidFill>
              <w14:schemeClr w14:val="tx1"/>
            </w14:solidFill>
          </w14:textFill>
        </w:rPr>
        <w:t>（二次）</w:t>
      </w:r>
      <w:r>
        <w:rPr>
          <w:rFonts w:ascii="宋体" w:hAnsi="宋体"/>
          <w:color w:val="000000" w:themeColor="text1"/>
          <w:highlight w:val="none"/>
          <w14:textFill>
            <w14:solidFill>
              <w14:schemeClr w14:val="tx1"/>
            </w14:solidFill>
          </w14:textFill>
        </w:rPr>
        <w:t>清单》（附件与本合同均具有同等法律效力）。</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388" w:lineRule="exact"/>
        <w:ind w:left="360" w:right="366" w:firstLine="571"/>
        <w:rPr>
          <w:rFonts w:ascii="Times New Roman" w:hAnsi="Times New Roman"/>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供货种类及数量：甲方按照实际使用需求向乙方开据订购清单后，乙方予以配送至甲方指定点</w:t>
      </w:r>
      <w:r>
        <w:rPr>
          <w:rFonts w:ascii="宋体" w:hAnsi="宋体"/>
          <w:color w:val="000000" w:themeColor="text1"/>
          <w:highlight w:val="none"/>
          <w:u w:val="single"/>
          <w14:textFill>
            <w14:solidFill>
              <w14:schemeClr w14:val="tx1"/>
            </w14:solidFill>
          </w14:textFill>
        </w:rPr>
        <w:t>：</w:t>
      </w:r>
      <w:r>
        <w:rPr>
          <w:rFonts w:hint="eastAsia" w:ascii="宋体" w:hAnsi="宋体"/>
          <w:color w:val="000000" w:themeColor="text1"/>
          <w:highlight w:val="none"/>
          <w:u w:val="single"/>
          <w14:textFill>
            <w14:solidFill>
              <w14:schemeClr w14:val="tx1"/>
            </w14:solidFill>
          </w14:textFill>
        </w:rPr>
        <w:t xml:space="preserve">               </w:t>
      </w: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3、备货安装</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u w:val="single"/>
          <w14:textFill>
            <w14:solidFill>
              <w14:schemeClr w14:val="tx1"/>
            </w14:solidFill>
          </w14:textFill>
        </w:rPr>
      </w:pPr>
      <w:r>
        <w:rPr>
          <w:rFonts w:ascii="宋体" w:hAnsi="宋体"/>
          <w:color w:val="000000" w:themeColor="text1"/>
          <w:highlight w:val="none"/>
          <w14:textFill>
            <w14:solidFill>
              <w14:schemeClr w14:val="tx1"/>
            </w14:solidFill>
          </w14:textFill>
        </w:rPr>
        <w:t xml:space="preserve">安装调试日期：自本合同签订之日起 </w:t>
      </w:r>
      <w:r>
        <w:rPr>
          <w:rFonts w:hint="eastAsia" w:ascii="宋体" w:hAnsi="宋体"/>
          <w:color w:val="000000" w:themeColor="text1"/>
          <w:highlight w:val="none"/>
          <w:u w:val="single"/>
          <w14:textFill>
            <w14:solidFill>
              <w14:schemeClr w14:val="tx1"/>
            </w14:solidFill>
          </w14:textFill>
        </w:rPr>
        <w:t>30</w:t>
      </w:r>
      <w:r>
        <w:rPr>
          <w:rFonts w:ascii="宋体" w:hAnsi="宋体"/>
          <w:color w:val="000000" w:themeColor="text1"/>
          <w:highlight w:val="none"/>
          <w14:textFill>
            <w14:solidFill>
              <w14:schemeClr w14:val="tx1"/>
            </w14:solidFill>
          </w14:textFill>
        </w:rPr>
        <w:t xml:space="preserve"> 个</w:t>
      </w:r>
      <w:r>
        <w:rPr>
          <w:rFonts w:hint="eastAsia" w:ascii="宋体" w:hAnsi="宋体"/>
          <w:color w:val="000000" w:themeColor="text1"/>
          <w:highlight w:val="none"/>
          <w14:textFill>
            <w14:solidFill>
              <w14:schemeClr w14:val="tx1"/>
            </w14:solidFill>
          </w14:textFill>
        </w:rPr>
        <w:t>日历天</w:t>
      </w:r>
      <w:r>
        <w:rPr>
          <w:rFonts w:ascii="宋体" w:hAnsi="宋体"/>
          <w:color w:val="000000" w:themeColor="text1"/>
          <w:highlight w:val="none"/>
          <w14:textFill>
            <w14:solidFill>
              <w14:schemeClr w14:val="tx1"/>
            </w14:solidFill>
          </w14:textFill>
        </w:rPr>
        <w:t>送达</w:t>
      </w:r>
      <w:r>
        <w:rPr>
          <w:rFonts w:hint="eastAsia" w:ascii="宋体" w:hAnsi="宋体"/>
          <w:b/>
          <w:color w:val="000000" w:themeColor="text1"/>
          <w:highlight w:val="none"/>
          <w:u w:val="single"/>
          <w14:textFill>
            <w14:solidFill>
              <w14:schemeClr w14:val="tx1"/>
            </w14:solidFill>
          </w14:textFill>
        </w:rPr>
        <w:t>安徽省境内</w:t>
      </w:r>
      <w:r>
        <w:rPr>
          <w:rFonts w:ascii="宋体" w:hAnsi="宋体"/>
          <w:color w:val="000000" w:themeColor="text1"/>
          <w:highlight w:val="none"/>
          <w:u w:val="single"/>
          <w14:textFill>
            <w14:solidFill>
              <w14:schemeClr w14:val="tx1"/>
            </w14:solidFill>
          </w14:textFill>
        </w:rPr>
        <w:t>。</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4、交货地点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4.1 甲方指定地点。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4.2 货物风险在甲方验收合格后转移给甲方。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5、甲方的责任和义务</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7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5.1 乙方的货物到货后，甲方应当为乙方提供一个仓库，用以放置各项相</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7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关货物，但货物安全等由甲方保管；</w:t>
      </w:r>
    </w:p>
    <w:p>
      <w:pPr>
        <w:spacing w:line="274" w:lineRule="exact"/>
        <w:ind w:left="780"/>
        <w:rPr>
          <w:rFonts w:ascii="宋体" w:hAnsi="宋体"/>
          <w:color w:val="000000" w:themeColor="text1"/>
          <w:highlight w:val="none"/>
          <w14:textFill>
            <w14:solidFill>
              <w14:schemeClr w14:val="tx1"/>
            </w14:solidFill>
          </w14:textFill>
        </w:rPr>
      </w:pPr>
    </w:p>
    <w:p>
      <w:pPr>
        <w:spacing w:line="11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72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5.2 甲方积极配合乙方收货；</w:t>
      </w:r>
    </w:p>
    <w:p>
      <w:pPr>
        <w:spacing w:line="274" w:lineRule="exact"/>
        <w:ind w:left="720"/>
        <w:rPr>
          <w:rFonts w:ascii="宋体" w:hAnsi="宋体"/>
          <w:color w:val="000000" w:themeColor="text1"/>
          <w:highlight w:val="none"/>
          <w14:textFill>
            <w14:solidFill>
              <w14:schemeClr w14:val="tx1"/>
            </w14:solidFill>
          </w14:textFill>
        </w:rPr>
      </w:pPr>
    </w:p>
    <w:p>
      <w:pPr>
        <w:spacing w:line="439" w:lineRule="exact"/>
        <w:ind w:left="360" w:right="366" w:firstLine="360"/>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5.3 甲方在接到乙方货物送达书面通知后五个工作日内，组织有关人员对货物进行验收，并签署货物验收单。甲方如拖延验收时间，在规定时间内不组织验收，视为验收合格，乙方有权要求付款；</w:t>
      </w:r>
    </w:p>
    <w:p>
      <w:pPr>
        <w:spacing w:line="269"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5.4 甲方按合同规定向乙方支付应付合同款；</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6、乙方的责任和义务</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6.1 乙方负责合同中所有货物的采购；</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6.2 乙方负责在货物验收时提供相关产品合格证和产品检测报告；</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6.3 乙方负责货物运输中的运杂费和装卸费；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6.4 乙方负担运输过程中货物的破损、丢失、变质等一切风险责任；</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8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6.5 乙方有权按合同规定向甲方收取应收合同款；</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439" w:lineRule="exact"/>
        <w:ind w:left="360" w:right="366" w:firstLine="480"/>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6.6 乙方按规范对货物进行安装和运输，如在以上过程中造成的人员伤害或财产损失由乙方承担由此产生的一切经济责任及法律责任，如果甲方先行垫付的，乙方同意甲方无条件对其进行追偿；</w:t>
      </w:r>
    </w:p>
    <w:p>
      <w:pPr>
        <w:spacing w:line="269"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7、付款方式</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firstLine="720" w:firstLineChars="3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7.1</w:t>
      </w:r>
      <w:r>
        <w:rPr>
          <w:rFonts w:hint="eastAsia" w:ascii="宋体" w:hAnsi="宋体"/>
          <w:color w:val="000000" w:themeColor="text1"/>
          <w:highlight w:val="none"/>
          <w14:textFill>
            <w14:solidFill>
              <w14:schemeClr w14:val="tx1"/>
            </w14:solidFill>
          </w14:textFill>
        </w:rPr>
        <w:t>项目完成并经甲方验收合格后十个工作日内支付至完成金额的90%。</w:t>
      </w:r>
    </w:p>
    <w:p>
      <w:pPr>
        <w:spacing w:line="266" w:lineRule="exact"/>
        <w:rPr>
          <w:rFonts w:ascii="Times New Roman" w:hAnsi="Times New Roman" w:eastAsiaTheme="minorEastAsia"/>
          <w:color w:val="000000" w:themeColor="text1"/>
          <w:highlight w:val="none"/>
          <w14:textFill>
            <w14:solidFill>
              <w14:schemeClr w14:val="tx1"/>
            </w14:solidFill>
          </w14:textFill>
        </w:rPr>
      </w:pPr>
    </w:p>
    <w:p>
      <w:pPr>
        <w:spacing w:line="274" w:lineRule="exact"/>
        <w:ind w:left="360" w:firstLine="720" w:firstLineChars="3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7.2剩下10%在一年质保期结束后，如无质量问题10个工作日内一次性付清（不计利息）</w:t>
      </w:r>
    </w:p>
    <w:p>
      <w:pPr>
        <w:pStyle w:val="11"/>
        <w:rPr>
          <w:color w:val="000000" w:themeColor="text1"/>
          <w:highlight w:val="none"/>
          <w14:textFill>
            <w14:solidFill>
              <w14:schemeClr w14:val="tx1"/>
            </w14:solidFill>
          </w14:textFill>
        </w:rPr>
      </w:pPr>
    </w:p>
    <w:p>
      <w:pPr>
        <w:spacing w:line="274" w:lineRule="exact"/>
        <w:ind w:left="96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7.</w:t>
      </w:r>
      <w:r>
        <w:rPr>
          <w:rFonts w:hint="eastAsia"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t xml:space="preserve"> 甲方每次付款，乙方必须先向甲方开具同等金额的正规增值税专用发</w:t>
      </w:r>
    </w:p>
    <w:p>
      <w:pPr>
        <w:spacing w:line="266" w:lineRule="exact"/>
        <w:rPr>
          <w:rFonts w:ascii="宋体" w:hAnsi="宋体"/>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票，否则，甲方有权拒绝付款。</w:t>
      </w:r>
    </w:p>
    <w:p>
      <w:pPr>
        <w:spacing w:line="266" w:lineRule="exact"/>
        <w:rPr>
          <w:rFonts w:ascii="宋体" w:hAnsi="宋体"/>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8、合同变更</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本合同在双方协商同意的情况下可以变更，如甲方需要增加其他货物，则</w:t>
      </w:r>
    </w:p>
    <w:p>
      <w:pPr>
        <w:spacing w:line="266" w:lineRule="exact"/>
        <w:rPr>
          <w:rFonts w:ascii="宋体" w:hAnsi="宋体"/>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由甲乙双方协商进行。</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9、违约责任</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9.1 乙方必须在合同约定的期限内运输交货完毕，每延期一天，乙方须向</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甲方承担 500 元/天的违约金。</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9.2 乙方提供的货物不符合合同及附件的约定，须在甲方规定的期限内更</w:t>
      </w:r>
    </w:p>
    <w:p>
      <w:pPr>
        <w:spacing w:line="154" w:lineRule="exact"/>
        <w:rPr>
          <w:rFonts w:ascii="Times New Roman" w:hAnsi="Times New Roman" w:eastAsia="Times New Roman"/>
          <w:color w:val="000000" w:themeColor="text1"/>
          <w:highlight w:val="none"/>
          <w14:textFill>
            <w14:solidFill>
              <w14:schemeClr w14:val="tx1"/>
            </w14:solidFill>
          </w14:textFill>
        </w:rPr>
      </w:pPr>
    </w:p>
    <w:p>
      <w:pPr>
        <w:spacing w:line="388" w:lineRule="exact"/>
        <w:ind w:left="360" w:right="366"/>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换完毕，否则甲方有权单方面解除合同，无须支付乙方任何费用，同时乙方须向甲方承担合同总额 20%的违约责任。</w:t>
      </w:r>
    </w:p>
    <w:p>
      <w:pPr>
        <w:spacing w:line="304" w:lineRule="exact"/>
        <w:rPr>
          <w:rFonts w:ascii="Times New Roman" w:hAnsi="Times New Roman" w:eastAsia="Times New Roman"/>
          <w:color w:val="000000" w:themeColor="text1"/>
          <w:highlight w:val="none"/>
          <w14:textFill>
            <w14:solidFill>
              <w14:schemeClr w14:val="tx1"/>
            </w14:solidFill>
          </w14:textFill>
        </w:rPr>
      </w:pPr>
    </w:p>
    <w:p>
      <w:pPr>
        <w:spacing w:line="439" w:lineRule="exact"/>
        <w:ind w:left="360" w:right="366" w:firstLine="480"/>
        <w:jc w:val="both"/>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9.3 乙方必须保证其提供的货物不侵犯第三人的知识产权，否则由此产生的一切经济责任及法律责任均由乙方承担，并赔偿由此给甲方造成的一切损失。</w:t>
      </w:r>
    </w:p>
    <w:p>
      <w:pPr>
        <w:spacing w:line="269"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10、质量保证</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乙方保证按合同规定的品种、规格、数量、参数提供全新优质的货物；</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11、不可抗力、意外变故</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如果合同双方因不可抗力意外而被阻不能履行其职责，合同期限依不可抗</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力因素影响的时间顺延，或根据实际情况双方友好协商解决。</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12、验收</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12.1 货物交付完成，由双方在完工后 5 个工作日内验收完毕。验收时，</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甲、乙双方共同参加；</w:t>
      </w:r>
    </w:p>
    <w:p>
      <w:pPr>
        <w:spacing w:line="267"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12.2 验收按行业相关标准执行。</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13、解决合同纠纷方式</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84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如甲乙双方在合同履行过程中发生争议，应协商解决，协商不成，向甲方</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所在地人民法院提起诉讼。</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right="6"/>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14、未尽事宜，双方协商，达成补充协议，补充协议与本合同具有同等法律效</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力。</w:t>
      </w:r>
    </w:p>
    <w:p>
      <w:pPr>
        <w:spacing w:line="266" w:lineRule="exact"/>
        <w:rPr>
          <w:rFonts w:ascii="Times New Roman" w:hAnsi="Times New Roman" w:eastAsia="Times New Roman"/>
          <w:color w:val="000000" w:themeColor="text1"/>
          <w:highlight w:val="none"/>
          <w14:textFill>
            <w14:solidFill>
              <w14:schemeClr w14:val="tx1"/>
            </w14:solidFill>
          </w14:textFill>
        </w:rPr>
      </w:pPr>
    </w:p>
    <w:p>
      <w:pPr>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15、本合同一式</w:t>
      </w:r>
      <w:r>
        <w:rPr>
          <w:rFonts w:hint="eastAsia" w:ascii="宋体" w:hAnsi="宋体"/>
          <w:color w:val="000000" w:themeColor="text1"/>
          <w:highlight w:val="none"/>
          <w14:textFill>
            <w14:solidFill>
              <w14:schemeClr w14:val="tx1"/>
            </w14:solidFill>
          </w14:textFill>
        </w:rPr>
        <w:t>肆</w:t>
      </w:r>
      <w:r>
        <w:rPr>
          <w:rFonts w:ascii="宋体" w:hAnsi="宋体"/>
          <w:color w:val="000000" w:themeColor="text1"/>
          <w:highlight w:val="none"/>
          <w14:textFill>
            <w14:solidFill>
              <w14:schemeClr w14:val="tx1"/>
            </w14:solidFill>
          </w14:textFill>
        </w:rPr>
        <w:t>份，甲方贰份，乙方</w:t>
      </w:r>
      <w:r>
        <w:rPr>
          <w:rFonts w:hint="eastAsia" w:ascii="宋体" w:hAnsi="宋体"/>
          <w:color w:val="000000" w:themeColor="text1"/>
          <w:highlight w:val="none"/>
          <w14:textFill>
            <w14:solidFill>
              <w14:schemeClr w14:val="tx1"/>
            </w14:solidFill>
          </w14:textFill>
        </w:rPr>
        <w:t>贰</w:t>
      </w:r>
      <w:r>
        <w:rPr>
          <w:rFonts w:ascii="宋体" w:hAnsi="宋体"/>
          <w:color w:val="000000" w:themeColor="text1"/>
          <w:highlight w:val="none"/>
          <w14:textFill>
            <w14:solidFill>
              <w14:schemeClr w14:val="tx1"/>
            </w14:solidFill>
          </w14:textFill>
        </w:rPr>
        <w:t>份</w:t>
      </w:r>
    </w:p>
    <w:p>
      <w:pPr>
        <w:spacing w:line="176" w:lineRule="exact"/>
        <w:rPr>
          <w:rFonts w:ascii="Times New Roman" w:hAnsi="Times New Roman"/>
          <w:color w:val="000000" w:themeColor="text1"/>
          <w:highlight w:val="none"/>
          <w14:textFill>
            <w14:solidFill>
              <w14:schemeClr w14:val="tx1"/>
            </w14:solidFill>
          </w14:textFill>
        </w:rPr>
      </w:pPr>
    </w:p>
    <w:p>
      <w:pPr>
        <w:spacing w:line="176" w:lineRule="exact"/>
        <w:rPr>
          <w:rFonts w:ascii="Times New Roman" w:hAnsi="Times New Roman"/>
          <w:color w:val="000000" w:themeColor="text1"/>
          <w:highlight w:val="none"/>
          <w14:textFill>
            <w14:solidFill>
              <w14:schemeClr w14:val="tx1"/>
            </w14:solidFill>
          </w14:textFill>
        </w:rPr>
      </w:pPr>
    </w:p>
    <w:p>
      <w:pPr>
        <w:spacing w:line="176" w:lineRule="exact"/>
        <w:rPr>
          <w:rFonts w:ascii="Times New Roman" w:hAnsi="Times New Roman"/>
          <w:color w:val="000000" w:themeColor="text1"/>
          <w:highlight w:val="none"/>
          <w14:textFill>
            <w14:solidFill>
              <w14:schemeClr w14:val="tx1"/>
            </w14:solidFill>
          </w14:textFill>
        </w:rPr>
      </w:pPr>
    </w:p>
    <w:p>
      <w:pPr>
        <w:spacing w:line="176" w:lineRule="exact"/>
        <w:rPr>
          <w:rFonts w:ascii="Times New Roman" w:hAnsi="Times New Roman"/>
          <w:color w:val="000000" w:themeColor="text1"/>
          <w:highlight w:val="none"/>
          <w14:textFill>
            <w14:solidFill>
              <w14:schemeClr w14:val="tx1"/>
            </w14:solidFill>
          </w14:textFill>
        </w:rPr>
      </w:pPr>
    </w:p>
    <w:p>
      <w:pPr>
        <w:tabs>
          <w:tab w:val="left" w:pos="4545"/>
        </w:tabs>
        <w:spacing w:line="274" w:lineRule="exact"/>
        <w:ind w:left="36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甲方（签章）：</w:t>
      </w:r>
      <w:r>
        <w:rPr>
          <w:rFonts w:hint="eastAsia" w:ascii="宋体" w:hAnsi="宋体"/>
          <w:color w:val="000000" w:themeColor="text1"/>
          <w:highlight w:val="none"/>
          <w14:textFill>
            <w14:solidFill>
              <w14:schemeClr w14:val="tx1"/>
            </w14:solidFill>
          </w14:textFill>
        </w:rPr>
        <w:t>安徽省驿达高速公路服务区</w:t>
      </w:r>
      <w:r>
        <w:rPr>
          <w:rFonts w:ascii="Times New Roman" w:hAnsi="Times New Roman" w:eastAsia="Times New Roman"/>
          <w:color w:val="000000" w:themeColor="text1"/>
          <w:highlight w:val="none"/>
          <w14:textFill>
            <w14:solidFill>
              <w14:schemeClr w14:val="tx1"/>
            </w14:solidFill>
          </w14:textFill>
        </w:rPr>
        <w:tab/>
      </w:r>
      <w:r>
        <w:rPr>
          <w:rFonts w:hint="eastAsia" w:ascii="Times New Roman" w:hAnsi="Times New Roman"/>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乙方（签章）：</w:t>
      </w:r>
    </w:p>
    <w:p>
      <w:pPr>
        <w:tabs>
          <w:tab w:val="left" w:pos="4305"/>
        </w:tabs>
        <w:spacing w:line="274" w:lineRule="exact"/>
        <w:ind w:left="36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经营管理有限公司                            </w:t>
      </w:r>
    </w:p>
    <w:p>
      <w:pPr>
        <w:tabs>
          <w:tab w:val="left" w:pos="4305"/>
        </w:tabs>
        <w:spacing w:line="274" w:lineRule="exact"/>
        <w:ind w:firstLine="345" w:firstLineChars="150"/>
        <w:rPr>
          <w:rFonts w:ascii="宋体" w:hAnsi="宋体"/>
          <w:color w:val="000000" w:themeColor="text1"/>
          <w:sz w:val="23"/>
          <w:highlight w:val="none"/>
          <w14:textFill>
            <w14:solidFill>
              <w14:schemeClr w14:val="tx1"/>
            </w14:solidFill>
          </w14:textFill>
        </w:rPr>
      </w:pPr>
    </w:p>
    <w:p>
      <w:pPr>
        <w:tabs>
          <w:tab w:val="left" w:pos="4305"/>
        </w:tabs>
        <w:spacing w:line="274" w:lineRule="exact"/>
        <w:ind w:firstLine="345" w:firstLineChars="150"/>
        <w:rPr>
          <w:rFonts w:ascii="宋体" w:hAnsi="宋体"/>
          <w:color w:val="000000" w:themeColor="text1"/>
          <w:highlight w:val="none"/>
          <w14:textFill>
            <w14:solidFill>
              <w14:schemeClr w14:val="tx1"/>
            </w14:solidFill>
          </w14:textFill>
        </w:rPr>
      </w:pPr>
      <w:r>
        <w:rPr>
          <w:rFonts w:ascii="宋体" w:hAnsi="宋体"/>
          <w:color w:val="000000" w:themeColor="text1"/>
          <w:sz w:val="23"/>
          <w:highlight w:val="none"/>
          <w14:textFill>
            <w14:solidFill>
              <w14:schemeClr w14:val="tx1"/>
            </w14:solidFill>
          </w14:textFill>
        </w:rPr>
        <w:t>法定代表人</w:t>
      </w:r>
      <w:r>
        <w:rPr>
          <w:rFonts w:hint="eastAsia" w:ascii="宋体" w:hAnsi="宋体"/>
          <w:color w:val="000000" w:themeColor="text1"/>
          <w:sz w:val="23"/>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sz w:val="23"/>
          <w:highlight w:val="none"/>
          <w14:textFill>
            <w14:solidFill>
              <w14:schemeClr w14:val="tx1"/>
            </w14:solidFill>
          </w14:textFill>
        </w:rPr>
        <w:t>法定代表人</w:t>
      </w:r>
      <w:r>
        <w:rPr>
          <w:rFonts w:hint="eastAsia" w:ascii="宋体" w:hAnsi="宋体"/>
          <w:color w:val="000000" w:themeColor="text1"/>
          <w:sz w:val="23"/>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 xml:space="preserve"> </w:t>
      </w:r>
    </w:p>
    <w:p>
      <w:pPr>
        <w:tabs>
          <w:tab w:val="left" w:pos="4305"/>
        </w:tabs>
        <w:spacing w:line="274" w:lineRule="exact"/>
        <w:ind w:firstLine="360" w:firstLineChars="150"/>
        <w:rPr>
          <w:rFonts w:ascii="宋体" w:hAnsi="宋体"/>
          <w:color w:val="000000" w:themeColor="text1"/>
          <w:highlight w:val="none"/>
          <w14:textFill>
            <w14:solidFill>
              <w14:schemeClr w14:val="tx1"/>
            </w14:solidFill>
          </w14:textFill>
        </w:rPr>
      </w:pPr>
    </w:p>
    <w:p>
      <w:pPr>
        <w:tabs>
          <w:tab w:val="left" w:pos="4305"/>
        </w:tabs>
        <w:spacing w:line="274" w:lineRule="exact"/>
        <w:ind w:firstLine="345" w:firstLineChars="150"/>
        <w:rPr>
          <w:rFonts w:ascii="宋体" w:hAnsi="宋体"/>
          <w:color w:val="000000" w:themeColor="text1"/>
          <w:sz w:val="23"/>
          <w:highlight w:val="none"/>
          <w14:textFill>
            <w14:solidFill>
              <w14:schemeClr w14:val="tx1"/>
            </w14:solidFill>
          </w14:textFill>
        </w:rPr>
      </w:pPr>
      <w:r>
        <w:rPr>
          <w:rFonts w:ascii="宋体" w:hAnsi="宋体"/>
          <w:color w:val="000000" w:themeColor="text1"/>
          <w:sz w:val="23"/>
          <w:highlight w:val="none"/>
          <w14:textFill>
            <w14:solidFill>
              <w14:schemeClr w14:val="tx1"/>
            </w14:solidFill>
          </w14:textFill>
        </w:rPr>
        <w:t>委托代理人</w:t>
      </w:r>
      <w:r>
        <w:rPr>
          <w:rFonts w:hint="eastAsia" w:ascii="宋体" w:hAnsi="宋体"/>
          <w:color w:val="000000" w:themeColor="text1"/>
          <w:sz w:val="23"/>
          <w:highlight w:val="none"/>
          <w14:textFill>
            <w14:solidFill>
              <w14:schemeClr w14:val="tx1"/>
            </w14:solidFill>
          </w14:textFill>
        </w:rPr>
        <w:t xml:space="preserve">：                                   </w:t>
      </w:r>
      <w:r>
        <w:rPr>
          <w:rFonts w:ascii="宋体" w:hAnsi="宋体"/>
          <w:color w:val="000000" w:themeColor="text1"/>
          <w:sz w:val="23"/>
          <w:highlight w:val="none"/>
          <w14:textFill>
            <w14:solidFill>
              <w14:schemeClr w14:val="tx1"/>
            </w14:solidFill>
          </w14:textFill>
        </w:rPr>
        <w:t>委托代理人</w:t>
      </w:r>
      <w:r>
        <w:rPr>
          <w:rFonts w:hint="eastAsia" w:ascii="宋体" w:hAnsi="宋体"/>
          <w:color w:val="000000" w:themeColor="text1"/>
          <w:sz w:val="23"/>
          <w:highlight w:val="none"/>
          <w14:textFill>
            <w14:solidFill>
              <w14:schemeClr w14:val="tx1"/>
            </w14:solidFill>
          </w14:textFill>
        </w:rPr>
        <w:t>：</w:t>
      </w:r>
    </w:p>
    <w:p>
      <w:pPr>
        <w:tabs>
          <w:tab w:val="left" w:pos="4305"/>
        </w:tabs>
        <w:spacing w:line="274" w:lineRule="exact"/>
        <w:ind w:firstLine="345" w:firstLineChars="150"/>
        <w:rPr>
          <w:rFonts w:ascii="宋体" w:hAnsi="宋体"/>
          <w:color w:val="000000" w:themeColor="text1"/>
          <w:sz w:val="23"/>
          <w:highlight w:val="none"/>
          <w14:textFill>
            <w14:solidFill>
              <w14:schemeClr w14:val="tx1"/>
            </w14:solidFill>
          </w14:textFill>
        </w:rPr>
      </w:pPr>
    </w:p>
    <w:p>
      <w:pPr>
        <w:tabs>
          <w:tab w:val="left" w:pos="4305"/>
        </w:tabs>
        <w:spacing w:line="274" w:lineRule="exact"/>
        <w:ind w:firstLine="360" w:firstLineChars="15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日</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期</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日</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期</w:t>
      </w:r>
      <w:r>
        <w:rPr>
          <w:rFonts w:hint="eastAsia" w:ascii="宋体" w:hAnsi="宋体"/>
          <w:color w:val="000000" w:themeColor="text1"/>
          <w:highlight w:val="none"/>
          <w14:textFill>
            <w14:solidFill>
              <w14:schemeClr w14:val="tx1"/>
            </w14:solidFill>
          </w14:textFill>
        </w:rPr>
        <w:t>：</w:t>
      </w:r>
    </w:p>
    <w:p>
      <w:pPr>
        <w:tabs>
          <w:tab w:val="left" w:pos="4305"/>
        </w:tabs>
        <w:spacing w:line="274" w:lineRule="exact"/>
        <w:ind w:firstLine="360" w:firstLineChars="150"/>
        <w:rPr>
          <w:rFonts w:ascii="宋体" w:hAnsi="宋体"/>
          <w:color w:val="000000" w:themeColor="text1"/>
          <w:highlight w:val="none"/>
          <w14:textFill>
            <w14:solidFill>
              <w14:schemeClr w14:val="tx1"/>
            </w14:solidFill>
          </w14:textFill>
        </w:rPr>
      </w:pPr>
    </w:p>
    <w:p>
      <w:pPr>
        <w:spacing w:line="360" w:lineRule="auto"/>
        <w:rPr>
          <w:rFonts w:ascii="宋体" w:hAnsi="宋体"/>
          <w:b/>
          <w:color w:val="000000" w:themeColor="text1"/>
          <w:sz w:val="32"/>
          <w:szCs w:val="32"/>
          <w:highlight w:val="none"/>
          <w14:textFill>
            <w14:solidFill>
              <w14:schemeClr w14:val="tx1"/>
            </w14:solidFill>
          </w14:textFill>
        </w:rPr>
      </w:pPr>
    </w:p>
    <w:p>
      <w:pPr>
        <w:spacing w:line="440" w:lineRule="exact"/>
        <w:rPr>
          <w:rFonts w:ascii="宋体" w:hAnsi="宋体"/>
          <w:b/>
          <w:bCs/>
          <w:color w:val="000000" w:themeColor="text1"/>
          <w:sz w:val="32"/>
          <w:szCs w:val="28"/>
          <w:highlight w:val="none"/>
          <w14:textFill>
            <w14:solidFill>
              <w14:schemeClr w14:val="tx1"/>
            </w14:solidFill>
          </w14:textFill>
        </w:rPr>
      </w:pPr>
    </w:p>
    <w:p>
      <w:pPr>
        <w:spacing w:line="360" w:lineRule="auto"/>
        <w:jc w:val="both"/>
        <w:rPr>
          <w:rFonts w:ascii="宋体" w:hAnsi="宋体" w:cs="宋体"/>
          <w:color w:val="000000" w:themeColor="text1"/>
          <w:sz w:val="28"/>
          <w:szCs w:val="28"/>
          <w:highlight w:val="none"/>
          <w14:textFill>
            <w14:solidFill>
              <w14:schemeClr w14:val="tx1"/>
            </w14:solidFill>
          </w14:textFill>
        </w:rPr>
      </w:pPr>
    </w:p>
    <w:p>
      <w:pPr>
        <w:spacing w:line="360" w:lineRule="auto"/>
        <w:jc w:val="both"/>
        <w:rPr>
          <w:rFonts w:ascii="宋体" w:hAnsi="宋体" w:cs="宋体"/>
          <w:color w:val="000000" w:themeColor="text1"/>
          <w:sz w:val="28"/>
          <w:szCs w:val="28"/>
          <w:highlight w:val="none"/>
          <w14:textFill>
            <w14:solidFill>
              <w14:schemeClr w14:val="tx1"/>
            </w14:solidFill>
          </w14:textFill>
        </w:rPr>
      </w:pPr>
    </w:p>
    <w:p>
      <w:pPr>
        <w:spacing w:line="360" w:lineRule="auto"/>
        <w:jc w:val="both"/>
        <w:rPr>
          <w:rFonts w:ascii="宋体" w:hAnsi="宋体" w:cs="宋体"/>
          <w:color w:val="000000" w:themeColor="text1"/>
          <w:sz w:val="28"/>
          <w:szCs w:val="28"/>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spacing w:line="411" w:lineRule="exact"/>
        <w:ind w:right="6"/>
        <w:jc w:val="center"/>
        <w:rPr>
          <w:rFonts w:ascii="宋体" w:hAnsi="宋体"/>
          <w:b/>
          <w:color w:val="000000" w:themeColor="text1"/>
          <w:sz w:val="36"/>
          <w:highlight w:val="none"/>
          <w14:textFill>
            <w14:solidFill>
              <w14:schemeClr w14:val="tx1"/>
            </w14:solidFill>
          </w14:textFill>
        </w:rPr>
      </w:pPr>
      <w:r>
        <w:rPr>
          <w:rFonts w:hint="eastAsia" w:ascii="宋体" w:hAnsi="宋体"/>
          <w:b/>
          <w:color w:val="000000" w:themeColor="text1"/>
          <w:sz w:val="36"/>
          <w:highlight w:val="none"/>
          <w14:textFill>
            <w14:solidFill>
              <w14:schemeClr w14:val="tx1"/>
            </w14:solidFill>
          </w14:textFill>
        </w:rPr>
        <w:t>廉洁共建合同</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甲方：安徽省驿达高速公路服务区经营管理有限公司</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做好业务合作（含建设、经营、采购等各类生产经营工作）中的党风廉洁建设，进一步规范从业行为，共同筑牢反腐防线。经甲、乙双方协商，一致同意签订本《廉洁共建合同》，并以此作为甲、乙双方共同遵守的廉洁从业行为准则。</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第一条 甲、乙双方的责任</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(一)双方均应严格遵守《中华人民共和国反不正当竞争法》等相关法律法规关于禁止商业贿赂行为的约定，坚决拒绝商业贿赂及其他不正当之商业行为。</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(二)双方的业务活动坚持公开、公正、诚信、透明的原则(法律认定的商业秘密和合同文件另有规定除外)，不得损害国家和集体利益。</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(三)建立健全廉洁制度，开展廉洁教育，监督并认真查处违法违纪行为。</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(四)发现对方在业务活动中有违反廉洁纪律规定的行为，应及时提醒对方。情节严重的，应向其上级主管部门或纪检监察、司法等有关机关举报。</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第二条 甲、乙双方的义务</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(一)甲方及其工作人员不得索要或接受乙方的回扣、礼金、现金、电子红包、购物卡、礼品（如纪念品、节日礼品等）、有价证券、贵重物品、报销票据、充话费、等不正当利益。</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(二)甲方工作人员不得参加乙方安排的超标准宴请和娱乐活动；不得接受乙方提供的通讯工具、交通工具和高档办公用品等。</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(三)甲方工作人员不得要求或者接受乙方在住房装修、婚丧嫁娶活动、配偶子女的工作安排以及出国出境、旅游等方面提供方便。</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(四)甲方工作人员及其配偶、子女不得从事与乙方经营范围有关的经济活动等。</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(五)甲方工作人员要秉公办事，不准营私舞弊，不准利用职权对乙方从事各种个人有偿中介活动。</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（六）乙方不得以任何理由向甲方工作人员给予上述不正当利益。</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第三条 违约责任</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一)若甲方人员要求乙方或工作人员给予任何形式的不正当利益，乙方应向甲方相关监察部门提供相关证据，甲方查实后将及时公正处理，并为乙方严格保密。甲方及其工作人员违反本合同第一、二条的有关规定，按管理权限，依据有关规定给予处理；涉嫌犯罪的，移交司法机关追究刑事责任；给乙方造成经济损失的，应予以补偿。</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乙方及其工作人员违反本合同第一、二条的有关规定，给甲方造成经济损失的，应予以赔偿；甲方有权将乙方列入甲方所属合作单位黑名单，永不合作；甲方有权解除相应的业务合作合同，乙方应承担导致合同终止的违约责任，且应按甲方查明的行贿金额的两倍向甲方支付违约金；甲方可依法对乙方采取必要措施（包括扣除合同履约保证金，暂停支付所有应付账款，或通过司法途径向乙方追偿由此造成甲方的一切经济损失及商誉损失）。</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第四条 其他约定</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本合同有效期为甲方和乙方签署之日起至相应合作经营项目合同期止。本合同未尽事项，可在实际操作中，经双方协商予以完善。</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因本合同履行而发生的纠纷，双方同意交由甲方所在地法院诉讼解决。</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本合同和相关业务合作的主合同具有同等法律效力。</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本合同一式贰份，由双方各执壹份。</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甲方：               (盖单位章)     </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法定代表人或其委托代理人：           (签字)  </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年       月      日         </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乙方人：             (盖单位章)</w:t>
      </w: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法定代表人或其委托代理人：          (签字)</w:t>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年       月         日</w:t>
      </w:r>
      <w:r>
        <w:rPr>
          <w:rFonts w:hint="eastAsia"/>
          <w:color w:val="000000" w:themeColor="text1"/>
          <w:highlight w:val="none"/>
          <w14:textFill>
            <w14:solidFill>
              <w14:schemeClr w14:val="tx1"/>
            </w14:solidFill>
          </w14:textFill>
        </w:rPr>
        <w:tab/>
      </w: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jc w:val="center"/>
        <w:rPr>
          <w:rFonts w:hint="eastAsia" w:ascii="宋体" w:hAnsi="宋体"/>
          <w:b/>
          <w:color w:val="000000" w:themeColor="text1"/>
          <w:sz w:val="32"/>
          <w:szCs w:val="32"/>
          <w:highlight w:val="none"/>
          <w14:textFill>
            <w14:solidFill>
              <w14:schemeClr w14:val="tx1"/>
            </w14:solidFill>
          </w14:textFill>
        </w:rPr>
      </w:pPr>
    </w:p>
    <w:p>
      <w:pPr>
        <w:numPr>
          <w:ilvl w:val="0"/>
          <w:numId w:val="2"/>
        </w:numPr>
        <w:jc w:val="center"/>
        <w:rPr>
          <w:rFonts w:hint="eastAsia" w:ascii="宋体" w:hAnsi="宋体"/>
          <w:b/>
          <w:bCs/>
          <w:color w:val="000000" w:themeColor="text1"/>
          <w:kern w:val="44"/>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 xml:space="preserve"> </w:t>
      </w:r>
      <w:r>
        <w:rPr>
          <w:rFonts w:hint="eastAsia" w:ascii="宋体" w:hAnsi="宋体"/>
          <w:b/>
          <w:bCs/>
          <w:color w:val="000000" w:themeColor="text1"/>
          <w:kern w:val="44"/>
          <w:sz w:val="32"/>
          <w:szCs w:val="32"/>
          <w:highlight w:val="none"/>
          <w14:textFill>
            <w14:solidFill>
              <w14:schemeClr w14:val="tx1"/>
            </w14:solidFill>
          </w14:textFill>
        </w:rPr>
        <w:t>供货要求</w:t>
      </w:r>
    </w:p>
    <w:p>
      <w:pPr>
        <w:numPr>
          <w:numId w:val="0"/>
        </w:numPr>
        <w:jc w:val="both"/>
        <w:rPr>
          <w:rFonts w:hint="eastAsia" w:ascii="宋体" w:hAnsi="宋体" w:cs="宋体"/>
          <w:color w:val="000000" w:themeColor="text1"/>
          <w:sz w:val="21"/>
          <w:szCs w:val="21"/>
          <w:highlight w:val="none"/>
          <w14:textFill>
            <w14:solidFill>
              <w14:schemeClr w14:val="tx1"/>
            </w14:solidFill>
          </w14:textFill>
        </w:rPr>
      </w:pPr>
    </w:p>
    <w:p>
      <w:pPr>
        <w:numPr>
          <w:numId w:val="0"/>
        </w:numPr>
        <w:ind w:firstLine="420" w:firstLineChars="200"/>
        <w:jc w:val="both"/>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1中标人应严格按照技术要求和国家、部(专业)有关标准生产和检验，确保产品质量。并且完全符合合同规定的质量、规格和性能的要求，并保证产品是全新的、未使用的。</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2中标人保证产品的性能和质量，并在其使用寿命内应具有满意的性能。</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3中标人对产品的质量应按国家和部(专业)颁布的质量标准或验收规范进行验收。</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4在产品使用期内，如因招标人使用不当和保管不善造成的问题，中标人应配合解决，但费用由招标人负担。</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质量保证期内如发生由于制造、工艺或材料缺陷而造成的质量问题，中标人在接到招标人书面通知1日内(以发出日期为准)给予答复，如果中标人对招标人提出的索赔负有责任，中标人应负责修理、更换或退货，并承担由此发生的一切损失和费用。如逾期不予答复和处理，则视为上述索赔已被接受，中标人应承担由此发生的一切损失和费用。</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6售后服务要求：</w:t>
      </w:r>
    </w:p>
    <w:p>
      <w:pPr>
        <w:spacing w:line="408" w:lineRule="auto"/>
        <w:ind w:firstLine="420" w:firstLineChars="200"/>
        <w:rPr>
          <w:rFonts w:ascii="宋体" w:hAnsi="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 xml:space="preserve">6.1 </w:t>
      </w:r>
      <w:r>
        <w:rPr>
          <w:rFonts w:hint="eastAsia" w:ascii="宋体" w:hAnsi="宋体"/>
          <w:color w:val="000000" w:themeColor="text1"/>
          <w:sz w:val="21"/>
          <w:szCs w:val="21"/>
          <w:highlight w:val="none"/>
          <w14:textFill>
            <w14:solidFill>
              <w14:schemeClr w14:val="tx1"/>
            </w14:solidFill>
          </w14:textFill>
        </w:rPr>
        <w:t>卖方负责对招标人操作人员进行免费的培训(培训费均已包含在合同总价中)；</w:t>
      </w:r>
    </w:p>
    <w:p>
      <w:pPr>
        <w:spacing w:line="408" w:lineRule="auto"/>
        <w:ind w:firstLine="420" w:firstLineChars="200"/>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6.2在质保期内，卖方对合同约定的质量标准、技术标准负责，在此期间非买方原因出现的货物问题，卖方对货物问题及时提供服务，免费维修、更换损坏部件，并承担由此产生的一切损失；出现问题，服务必须做到24小时服务，省内有维保点的6小时内赶到现场，省内无维保点的12小时内赶到现场，并连续进行直至修复。在上述时限内卖方未赶到，买方可采取必要的补救措施，但其风险和费用由卖方全额承担，买方按合同规定,对卖方行使的其他权利不受影响在质保期外使用寿命内(请注明使用寿命)供方对设备提供终身服务，且对设备的维修只收取材料成本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7中标人提交一份有关质保及售后服务承诺书，至少包括下列内容：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7.1详细列明供应的货物保修、保养服务的内容、方法和提供的优惠条件。</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8设备材料规格及具体质量要求</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详见采购及安装项目清单中质材、规格、尺寸等相关要求。</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竞标人必须对招标文件中所提要求逐项做出实质性应答，任何差异必须列表说明。招标人只接受等同于或优于本技术规格书规定的技术指标和所使用的标准。</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9提供的货物须包括以下工作服务但不仅限于以下内容：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中标人按需方的需要完成货物的生产和细织及深化设计（制作详图）。供方须委派有三年以上专业经验的家具制作设计师，负贡与室内设计师及供方进行协商。对细节及装配图作出深化和确定，深化设计（制作详图）需由需方和室内设计师签字确认；供方按需方和室内设计师签字确认的深化设计（制造详图）生产前，所有家具的尺于必须到现场复核，如现场尺寸、数量有较大变化时以现场实地测量为准，若供方未根据现场情况调整复核的尺寸造成的损失，责任由供方负货：深化设计图（制作详图）经需方和室内设计师签字认可后，方可进行生产。</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供方须积极配合需方在所有家具正式生产前的样品打样工作，打样的货物由需方和室内设计师进行验收确认，如打样的货物不能满是需方要求或验收不合格，供方应重新打样，直至满足需方的要求为止，一切费用由供方负背。通过验收的打样样品作为最络验收的依据。</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（3）拨需方认可的方案进行货物的包要，运输。发要就位。</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（4）运输：货物运输并卸至需方指定地点。</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（5）按采购人指定位置和要求完成安装就位（安装所需的设备。工具、脚手架、水电。总包配合费等所有与完成践要就你有关的费用购应包含在竞标报价中）。</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（6）在货物就位、变装之前须提供详细的构造图。货物群本和使用操作说明书。</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7）中标后，供方提供深化设计方案时明确具体的款式及材质等，并经需方认可，按需方认可的设计方案供费，根据家具生产要求的物料清单，在采购前向需方及室内设计师呈相关样品并得到认可后，确保在材料上达到设计的意图及效果，且必须按照设计的要求选用材质及配件进行生产，但中标单价不予调整，此风险竞标人在竞标报价中自行考虑。</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（8）所供货物通过有关部门的检验和试验。并条担所需费用。</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（9）需方如需做第三方检测，检测合格检测费由需方负责，但检测材料须由供方免费提供；如检测不合格，一切费用由供方负责。</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（10）供方必须负责所提供的产品通过相关部门组织的验收，直至取得验收证书。验收费用包含在竞标总价中。</w:t>
      </w:r>
    </w:p>
    <w:p>
      <w:pPr>
        <w:spacing w:line="408" w:lineRule="auto"/>
        <w:ind w:firstLine="420" w:firstLineChars="200"/>
        <w:rPr>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上述标准、规范及规程仅是本工程的最基本依据，并未包括实施中所涉及的所有标准、规范和规程，且这些标准、规范和规程均应为合同签订之日为止时的最新版本，不限制竞标人使用国家现行有效的其他与本次采购货物有关的制造、安装的标准及规范。</w:t>
      </w:r>
    </w:p>
    <w:p>
      <w:pPr>
        <w:pStyle w:val="8"/>
        <w:ind w:firstLine="480"/>
        <w:rPr>
          <w:color w:val="000000" w:themeColor="text1"/>
          <w:highlight w:val="none"/>
          <w14:textFill>
            <w14:solidFill>
              <w14:schemeClr w14:val="tx1"/>
            </w14:solidFill>
          </w14:textFill>
        </w:rPr>
        <w:sectPr>
          <w:footerReference r:id="rId16" w:type="default"/>
          <w:pgSz w:w="11906" w:h="16838"/>
          <w:pgMar w:top="1417" w:right="1417" w:bottom="1417" w:left="1417" w:header="850" w:footer="850" w:gutter="0"/>
          <w:cols w:space="720" w:num="1"/>
          <w:docGrid w:linePitch="312" w:charSpace="0"/>
        </w:sect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p>
      <w:pPr>
        <w:pStyle w:val="8"/>
        <w:ind w:firstLine="480"/>
        <w:rPr>
          <w:color w:val="000000" w:themeColor="text1"/>
          <w:highlight w:val="none"/>
          <w14:textFill>
            <w14:solidFill>
              <w14:schemeClr w14:val="tx1"/>
            </w14:solidFill>
          </w14:textFill>
        </w:rPr>
      </w:pPr>
    </w:p>
    <w:bookmarkEnd w:id="38"/>
    <w:bookmarkEnd w:id="39"/>
    <w:p>
      <w:pPr>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p>
    <w:p>
      <w:pPr>
        <w:pStyle w:val="5"/>
        <w:rPr>
          <w:color w:val="000000" w:themeColor="text1"/>
          <w:highlight w:val="none"/>
          <w14:textFill>
            <w14:solidFill>
              <w14:schemeClr w14:val="tx1"/>
            </w14:solidFill>
          </w14:textFill>
        </w:rPr>
      </w:pPr>
      <w:bookmarkStart w:id="40" w:name="_Toc16585722"/>
      <w:r>
        <w:rPr>
          <w:rFonts w:hint="eastAsia"/>
          <w:color w:val="000000" w:themeColor="text1"/>
          <w:highlight w:val="none"/>
          <w14:textFill>
            <w14:solidFill>
              <w14:schemeClr w14:val="tx1"/>
            </w14:solidFill>
          </w14:textFill>
        </w:rPr>
        <w:t>第六章  响应文件格式</w:t>
      </w:r>
      <w:bookmarkEnd w:id="40"/>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sectPr>
          <w:pgSz w:w="11906" w:h="16838"/>
          <w:pgMar w:top="1417" w:right="1417" w:bottom="1417" w:left="1417" w:header="850" w:footer="850" w:gutter="0"/>
          <w:cols w:space="720" w:num="1"/>
          <w:docGrid w:linePitch="312" w:charSpace="0"/>
        </w:sectPr>
      </w:pPr>
    </w:p>
    <w:p>
      <w:pPr>
        <w:spacing w:line="360" w:lineRule="auto"/>
        <w:jc w:val="center"/>
        <w:rPr>
          <w:rFonts w:ascii="宋体" w:hAnsi="宋体" w:cs="宋体"/>
          <w:color w:val="000000" w:themeColor="text1"/>
          <w:sz w:val="36"/>
          <w:szCs w:val="36"/>
          <w:highlight w:val="none"/>
          <w14:textFill>
            <w14:solidFill>
              <w14:schemeClr w14:val="tx1"/>
            </w14:solidFill>
          </w14:textFill>
        </w:rPr>
      </w:pPr>
    </w:p>
    <w:p>
      <w:pPr>
        <w:spacing w:line="360" w:lineRule="auto"/>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2019年度驿达公司服务区便利店、客房及青年之家</w:t>
      </w:r>
      <w:r>
        <w:rPr>
          <w:rFonts w:ascii="宋体" w:hAnsi="宋体" w:cs="宋体"/>
          <w:color w:val="000000" w:themeColor="text1"/>
          <w:sz w:val="36"/>
          <w:szCs w:val="36"/>
          <w:highlight w:val="none"/>
          <w14:textFill>
            <w14:solidFill>
              <w14:schemeClr w14:val="tx1"/>
            </w14:solidFill>
          </w14:textFill>
        </w:rPr>
        <w:t>家具</w:t>
      </w:r>
    </w:p>
    <w:p>
      <w:pPr>
        <w:spacing w:line="360" w:lineRule="auto"/>
        <w:jc w:val="center"/>
        <w:rPr>
          <w:rFonts w:ascii="宋体" w:hAnsi="宋体" w:cs="宋体"/>
          <w:color w:val="000000" w:themeColor="text1"/>
          <w:sz w:val="36"/>
          <w:szCs w:val="36"/>
          <w:highlight w:val="none"/>
          <w14:textFill>
            <w14:solidFill>
              <w14:schemeClr w14:val="tx1"/>
            </w14:solidFill>
          </w14:textFill>
        </w:rPr>
      </w:pPr>
      <w:r>
        <w:rPr>
          <w:rFonts w:ascii="宋体" w:hAnsi="宋体" w:cs="宋体"/>
          <w:color w:val="000000" w:themeColor="text1"/>
          <w:sz w:val="36"/>
          <w:szCs w:val="36"/>
          <w:highlight w:val="none"/>
          <w14:textFill>
            <w14:solidFill>
              <w14:schemeClr w14:val="tx1"/>
            </w14:solidFill>
          </w14:textFill>
        </w:rPr>
        <w:t>采购及安装项目</w:t>
      </w:r>
    </w:p>
    <w:p>
      <w:pPr>
        <w:spacing w:line="360" w:lineRule="auto"/>
        <w:jc w:val="center"/>
        <w:rPr>
          <w:rFonts w:ascii="方正小标宋简体" w:hAnsi="方正小标宋简体" w:eastAsia="方正小标宋简体" w:cs="方正小标宋简体"/>
          <w:color w:val="000000" w:themeColor="text1"/>
          <w:sz w:val="36"/>
          <w:szCs w:val="36"/>
          <w:highlight w:val="none"/>
          <w14:textFill>
            <w14:solidFill>
              <w14:schemeClr w14:val="tx1"/>
            </w14:solidFill>
          </w14:textFill>
        </w:rPr>
      </w:pPr>
    </w:p>
    <w:p>
      <w:pPr>
        <w:spacing w:line="360" w:lineRule="auto"/>
        <w:jc w:val="center"/>
        <w:rPr>
          <w:rFonts w:ascii="宋体" w:hAnsi="宋体" w:cs="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6"/>
          <w:szCs w:val="36"/>
          <w:highlight w:val="none"/>
          <w14:textFill>
            <w14:solidFill>
              <w14:schemeClr w14:val="tx1"/>
            </w14:solidFill>
          </w14:textFill>
        </w:rPr>
        <w:t>响应文件</w:t>
      </w:r>
    </w:p>
    <w:p>
      <w:pPr>
        <w:pStyle w:val="6"/>
        <w:rPr>
          <w:color w:val="000000" w:themeColor="text1"/>
          <w:highlight w:val="none"/>
          <w14:textFill>
            <w14:solidFill>
              <w14:schemeClr w14:val="tx1"/>
            </w14:solidFill>
          </w14:textFill>
        </w:rPr>
      </w:pPr>
      <w:bookmarkStart w:id="41" w:name="_Toc28335"/>
      <w:bookmarkStart w:id="42" w:name="_Toc4958"/>
      <w:bookmarkStart w:id="43" w:name="_Toc10671"/>
    </w:p>
    <w:bookmarkEnd w:id="41"/>
    <w:bookmarkEnd w:id="42"/>
    <w:bookmarkEnd w:id="43"/>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rPr>
          <w:b/>
          <w:bCs/>
          <w:color w:val="000000" w:themeColor="text1"/>
          <w:highlight w:val="none"/>
          <w:u w:val="singl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rPr>
          <w:rFonts w:ascii="宋体" w:hAnsi="宋体" w:cs="宋体"/>
          <w:color w:val="000000" w:themeColor="text1"/>
          <w:sz w:val="22"/>
          <w:szCs w:val="2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竞标人：(盖单位章)</w:t>
      </w:r>
    </w:p>
    <w:p>
      <w:pPr>
        <w:spacing w:line="360" w:lineRule="auto"/>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年   月    日</w:t>
      </w:r>
    </w:p>
    <w:p>
      <w:pPr>
        <w:spacing w:line="360" w:lineRule="auto"/>
        <w:jc w:val="center"/>
        <w:rPr>
          <w:rFonts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cs="宋体"/>
          <w:color w:val="000000" w:themeColor="text1"/>
          <w:sz w:val="32"/>
          <w:szCs w:val="32"/>
          <w:highlight w:val="none"/>
          <w14:textFill>
            <w14:solidFill>
              <w14:schemeClr w14:val="tx1"/>
            </w14:solidFill>
          </w14:textFill>
        </w:rPr>
        <w:sectPr>
          <w:pgSz w:w="11906" w:h="16838"/>
          <w:pgMar w:top="1417" w:right="1417" w:bottom="1417" w:left="1417" w:header="850" w:footer="850" w:gutter="0"/>
          <w:cols w:space="720" w:num="1"/>
          <w:docGrid w:linePitch="312" w:charSpace="0"/>
        </w:sectPr>
      </w:pPr>
    </w:p>
    <w:p>
      <w:pP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目录</w:t>
      </w:r>
    </w:p>
    <w:p>
      <w:pPr>
        <w:spacing w:line="360" w:lineRule="auto"/>
        <w:rPr>
          <w:rFonts w:ascii="宋体" w:hAnsi="宋体" w:cs="宋体"/>
          <w:color w:val="000000" w:themeColor="text1"/>
          <w:highlight w:val="none"/>
          <w14:textFill>
            <w14:solidFill>
              <w14:schemeClr w14:val="tx1"/>
            </w14:solidFill>
          </w14:textFill>
        </w:rPr>
      </w:pPr>
    </w:p>
    <w:p>
      <w:pPr>
        <w:numPr>
          <w:ilvl w:val="0"/>
          <w:numId w:val="3"/>
        </w:num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竞标函</w:t>
      </w:r>
    </w:p>
    <w:p>
      <w:pPr>
        <w:numPr>
          <w:ilvl w:val="0"/>
          <w:numId w:val="3"/>
        </w:numPr>
        <w:spacing w:line="360" w:lineRule="auto"/>
        <w:ind w:firstLine="480" w:firstLineChars="200"/>
        <w:rPr>
          <w:rFonts w:ascii="宋体" w:hAnsi="宋体" w:cs="宋体"/>
          <w:color w:val="000000" w:themeColor="text1"/>
          <w:highlight w:val="none"/>
          <w14:textFill>
            <w14:solidFill>
              <w14:schemeClr w14:val="tx1"/>
            </w14:solidFill>
          </w14:textFill>
        </w:rPr>
      </w:pPr>
      <w:r>
        <w:rPr>
          <w:rFonts w:ascii="宋体" w:hAnsi="宋体" w:cs="宋体"/>
          <w:color w:val="000000" w:themeColor="text1"/>
          <w:highlight w:val="none"/>
          <w14:textFill>
            <w14:solidFill>
              <w14:schemeClr w14:val="tx1"/>
            </w14:solidFill>
          </w14:textFill>
        </w:rPr>
        <w:t>报价清单</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Style w:val="39"/>
          <w:rFonts w:hint="eastAsia"/>
          <w:color w:val="000000" w:themeColor="text1"/>
          <w:sz w:val="24"/>
          <w:szCs w:val="24"/>
          <w:highlight w:val="none"/>
          <w14:textFill>
            <w14:solidFill>
              <w14:schemeClr w14:val="tx1"/>
            </w14:solidFill>
          </w14:textFill>
        </w:rPr>
        <w:t>三、</w:t>
      </w:r>
      <w:r>
        <w:rPr>
          <w:rFonts w:hint="eastAsia" w:ascii="宋体" w:hAnsi="宋体" w:cs="宋体"/>
          <w:color w:val="000000" w:themeColor="text1"/>
          <w:highlight w:val="none"/>
          <w14:textFill>
            <w14:solidFill>
              <w14:schemeClr w14:val="tx1"/>
            </w14:solidFill>
          </w14:textFill>
        </w:rPr>
        <w:t>法定代表人（单位负责人）身份证明</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四、授权委托书</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五、资格审查资料</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（一）基本情况表</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（二）近年完成的类似项目情况表</w:t>
      </w:r>
    </w:p>
    <w:p>
      <w:pPr>
        <w:spacing w:line="360" w:lineRule="auto"/>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（三）信誉证明资料</w:t>
      </w:r>
    </w:p>
    <w:p>
      <w:pPr>
        <w:spacing w:line="360" w:lineRule="auto"/>
        <w:ind w:firstLine="464" w:firstLineChars="200"/>
        <w:rPr>
          <w:rFonts w:ascii="宋体" w:hAnsi="宋体" w:cs="宋体"/>
          <w:color w:val="000000" w:themeColor="text1"/>
          <w:highlight w:val="none"/>
          <w14:textFill>
            <w14:solidFill>
              <w14:schemeClr w14:val="tx1"/>
            </w14:solidFill>
          </w14:textFill>
        </w:rPr>
      </w:pPr>
      <w:r>
        <w:rPr>
          <w:rFonts w:hint="eastAsia"/>
          <w:color w:val="000000" w:themeColor="text1"/>
          <w:spacing w:val="-4"/>
          <w:highlight w:val="none"/>
          <w14:textFill>
            <w14:solidFill>
              <w14:schemeClr w14:val="tx1"/>
            </w14:solidFill>
          </w14:textFill>
        </w:rPr>
        <w:t>六</w:t>
      </w:r>
      <w:r>
        <w:rPr>
          <w:color w:val="000000" w:themeColor="text1"/>
          <w:spacing w:val="-4"/>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其他资料（如有）</w:t>
      </w:r>
    </w:p>
    <w:p>
      <w:pPr>
        <w:spacing w:line="360" w:lineRule="auto"/>
        <w:jc w:val="center"/>
        <w:rPr>
          <w:rFonts w:ascii="宋体" w:hAnsi="宋体" w:cs="宋体"/>
          <w:color w:val="000000" w:themeColor="text1"/>
          <w:sz w:val="22"/>
          <w:szCs w:val="22"/>
          <w:highlight w:val="none"/>
          <w14:textFill>
            <w14:solidFill>
              <w14:schemeClr w14:val="tx1"/>
            </w14:solidFill>
          </w14:textFill>
        </w:rPr>
      </w:pPr>
    </w:p>
    <w:p>
      <w:pPr>
        <w:spacing w:line="360" w:lineRule="auto"/>
        <w:jc w:val="center"/>
        <w:outlineLvl w:val="1"/>
        <w:rPr>
          <w:rFonts w:ascii="宋体" w:hAnsi="宋体" w:cs="宋体"/>
          <w:color w:val="000000" w:themeColor="text1"/>
          <w:sz w:val="22"/>
          <w:szCs w:val="22"/>
          <w:highlight w:val="none"/>
          <w14:textFill>
            <w14:solidFill>
              <w14:schemeClr w14:val="tx1"/>
            </w14:solidFill>
          </w14:textFill>
        </w:rPr>
        <w:sectPr>
          <w:pgSz w:w="11906" w:h="16838"/>
          <w:pgMar w:top="1417" w:right="1417" w:bottom="1417" w:left="1417" w:header="850" w:footer="850" w:gutter="0"/>
          <w:cols w:space="720" w:num="1"/>
          <w:docGrid w:linePitch="312" w:charSpace="0"/>
        </w:sectPr>
      </w:pPr>
      <w:bookmarkStart w:id="44" w:name="_Toc189369363"/>
    </w:p>
    <w:bookmarkEnd w:id="44"/>
    <w:p>
      <w:pPr>
        <w:pStyle w:val="6"/>
        <w:rPr>
          <w:color w:val="000000" w:themeColor="text1"/>
          <w:highlight w:val="none"/>
          <w14:textFill>
            <w14:solidFill>
              <w14:schemeClr w14:val="tx1"/>
            </w14:solidFill>
          </w14:textFill>
        </w:rPr>
      </w:pPr>
      <w:bookmarkStart w:id="45" w:name="page81"/>
      <w:bookmarkEnd w:id="45"/>
    </w:p>
    <w:p>
      <w:pPr>
        <w:pStyle w:val="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一、竞标函</w:t>
      </w:r>
    </w:p>
    <w:p>
      <w:pPr>
        <w:tabs>
          <w:tab w:val="left" w:pos="-1680"/>
        </w:tabs>
        <w:spacing w:line="500" w:lineRule="exact"/>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安徽省驿达高速公路服务区经营管理有限公司：</w:t>
      </w:r>
    </w:p>
    <w:p>
      <w:pPr>
        <w:numPr>
          <w:ilvl w:val="0"/>
          <w:numId w:val="4"/>
        </w:numPr>
        <w:tabs>
          <w:tab w:val="left" w:pos="-1680"/>
        </w:tabs>
        <w:spacing w:line="36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1.我方已仔细研究了</w:t>
      </w:r>
      <w:r>
        <w:rPr>
          <w:rFonts w:hint="eastAsia" w:ascii="宋体" w:hAnsi="宋体" w:cs="宋体"/>
          <w:bCs/>
          <w:color w:val="000000" w:themeColor="text1"/>
          <w:sz w:val="22"/>
          <w:szCs w:val="22"/>
          <w:highlight w:val="none"/>
          <w:u w:val="single"/>
          <w14:textFill>
            <w14:solidFill>
              <w14:schemeClr w14:val="tx1"/>
            </w14:solidFill>
          </w14:textFill>
        </w:rPr>
        <w:t xml:space="preserve">   （项目名称）</w:t>
      </w:r>
      <w:r>
        <w:rPr>
          <w:rFonts w:hint="eastAsia" w:ascii="宋体" w:hAnsi="宋体" w:cs="宋体"/>
          <w:bCs/>
          <w:color w:val="000000" w:themeColor="text1"/>
          <w:sz w:val="22"/>
          <w:szCs w:val="22"/>
          <w:highlight w:val="none"/>
          <w14:textFill>
            <w14:solidFill>
              <w14:schemeClr w14:val="tx1"/>
            </w14:solidFill>
          </w14:textFill>
        </w:rPr>
        <w:t>采购文件的全部内容，决定参加你们组织的“</w:t>
      </w:r>
      <w:r>
        <w:rPr>
          <w:rFonts w:hint="eastAsia" w:ascii="宋体" w:hAnsi="宋体" w:cs="宋体"/>
          <w:bCs/>
          <w:color w:val="000000" w:themeColor="text1"/>
          <w:sz w:val="22"/>
          <w:szCs w:val="22"/>
          <w:highlight w:val="none"/>
          <w:u w:val="single"/>
          <w14:textFill>
            <w14:solidFill>
              <w14:schemeClr w14:val="tx1"/>
            </w14:solidFill>
          </w14:textFill>
        </w:rPr>
        <w:t xml:space="preserve">       </w:t>
      </w:r>
      <w:r>
        <w:rPr>
          <w:rFonts w:ascii="宋体" w:hAnsi="宋体" w:cs="宋体"/>
          <w:bCs/>
          <w:color w:val="000000" w:themeColor="text1"/>
          <w:sz w:val="22"/>
          <w:szCs w:val="22"/>
          <w:highlight w:val="none"/>
          <w:u w:val="single"/>
          <w14:textFill>
            <w14:solidFill>
              <w14:schemeClr w14:val="tx1"/>
            </w14:solidFill>
          </w14:textFill>
        </w:rPr>
        <w:t xml:space="preserve"> </w:t>
      </w:r>
      <w:r>
        <w:rPr>
          <w:rFonts w:hint="eastAsia" w:ascii="宋体" w:hAnsi="宋体" w:cs="宋体"/>
          <w:bCs/>
          <w:color w:val="000000" w:themeColor="text1"/>
          <w:sz w:val="22"/>
          <w:szCs w:val="22"/>
          <w:highlight w:val="none"/>
          <w:u w:val="single"/>
          <w14:textFill>
            <w14:solidFill>
              <w14:schemeClr w14:val="tx1"/>
            </w14:solidFill>
          </w14:textFill>
        </w:rPr>
        <w:t xml:space="preserve">   （项目名称）</w:t>
      </w:r>
      <w:r>
        <w:rPr>
          <w:rFonts w:hint="eastAsia" w:ascii="宋体" w:hAnsi="宋体" w:cs="宋体"/>
          <w:bCs/>
          <w:color w:val="000000" w:themeColor="text1"/>
          <w:sz w:val="22"/>
          <w:szCs w:val="22"/>
          <w:highlight w:val="none"/>
          <w14:textFill>
            <w14:solidFill>
              <w14:schemeClr w14:val="tx1"/>
            </w14:solidFill>
          </w14:textFill>
        </w:rPr>
        <w:t>”项目的采购活动，</w:t>
      </w:r>
      <w:r>
        <w:rPr>
          <w:rFonts w:hint="eastAsia" w:ascii="宋体" w:hAnsi="宋体" w:cs="宋体"/>
          <w:color w:val="000000" w:themeColor="text1"/>
          <w:sz w:val="22"/>
          <w:szCs w:val="22"/>
          <w:highlight w:val="none"/>
          <w14:textFill>
            <w14:solidFill>
              <w14:schemeClr w14:val="tx1"/>
            </w14:solidFill>
          </w14:textFill>
        </w:rPr>
        <w:t>我方竞标总报价为人民币 （大写）：</w:t>
      </w:r>
      <w:r>
        <w:rPr>
          <w:rFonts w:hint="eastAsia" w:ascii="宋体" w:hAnsi="宋体" w:cs="宋体"/>
          <w:color w:val="000000" w:themeColor="text1"/>
          <w:sz w:val="22"/>
          <w:szCs w:val="22"/>
          <w:highlight w:val="none"/>
          <w:u w:val="single"/>
          <w14:textFill>
            <w14:solidFill>
              <w14:schemeClr w14:val="tx1"/>
            </w14:solidFill>
          </w14:textFill>
        </w:rPr>
        <w:t xml:space="preserve">                  （小写：   元）。</w:t>
      </w:r>
      <w:r>
        <w:rPr>
          <w:rFonts w:hint="eastAsia" w:ascii="宋体" w:hAnsi="宋体" w:cs="宋体"/>
          <w:color w:val="000000" w:themeColor="text1"/>
          <w:sz w:val="22"/>
          <w:szCs w:val="22"/>
          <w:highlight w:val="none"/>
          <w14:textFill>
            <w14:solidFill>
              <w14:schemeClr w14:val="tx1"/>
            </w14:solidFill>
          </w14:textFill>
        </w:rPr>
        <w:t>工期</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天，</w:t>
      </w:r>
      <w:r>
        <w:rPr>
          <w:rFonts w:hint="eastAsia" w:ascii="宋体" w:hAnsi="宋体" w:cs="宋体"/>
          <w:bCs/>
          <w:color w:val="000000" w:themeColor="text1"/>
          <w:sz w:val="22"/>
          <w:szCs w:val="22"/>
          <w:highlight w:val="none"/>
          <w14:textFill>
            <w14:solidFill>
              <w14:schemeClr w14:val="tx1"/>
            </w14:solidFill>
          </w14:textFill>
        </w:rPr>
        <w:t>并且愿意按照响应文件规定为采购人提供所需货物和各项服务要求，并按合同约定履行义务。</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2.一旦我方中标，我方将严格履行合同规定的责任和义务，按规定的工期完成项目的交货安装并交付采购人验收。</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3.我方承诺除竞标设备技术性能指标偏差表列出的偏差外，我方响应采购文件的全部要求。</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4.竞标有效期为自竞标截止之日起</w:t>
      </w:r>
      <w:r>
        <w:rPr>
          <w:rFonts w:hint="eastAsia" w:ascii="宋体" w:hAnsi="宋体" w:cs="宋体"/>
          <w:bCs/>
          <w:color w:val="000000" w:themeColor="text1"/>
          <w:sz w:val="22"/>
          <w:szCs w:val="22"/>
          <w:highlight w:val="none"/>
          <w:u w:val="single"/>
          <w14:textFill>
            <w14:solidFill>
              <w14:schemeClr w14:val="tx1"/>
            </w14:solidFill>
          </w14:textFill>
        </w:rPr>
        <w:t xml:space="preserve">     </w:t>
      </w:r>
      <w:r>
        <w:rPr>
          <w:rFonts w:hint="eastAsia" w:ascii="宋体" w:hAnsi="宋体" w:cs="宋体"/>
          <w:bCs/>
          <w:color w:val="000000" w:themeColor="text1"/>
          <w:sz w:val="22"/>
          <w:szCs w:val="22"/>
          <w:highlight w:val="none"/>
          <w14:textFill>
            <w14:solidFill>
              <w14:schemeClr w14:val="tx1"/>
            </w14:solidFill>
          </w14:textFill>
        </w:rPr>
        <w:t>日历天。我方承诺完全响应采购文件及补充、澄清、修改文件中的全部内容。</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5.如我方中标，我方承诺：</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（1）在收到中标通知书后，在中标通知书规定的期限内与你方签订合同；</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（2）在签订合同时不向你方提出附加条件；</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（3）在合同约定的期限内完成合同规定的全部义务。</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6.我方愿意提供采购人可能另外要求的、与竞标有关的文件资料，并保证我方已提供和将要提供的文件是真实的、准确的。</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7.我方在此声明，所递交的响应文件及有关资料内容完整、真实和准确，且不存在第二章</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“竞标人须知”第 1.4.3 项规定的任何一种情形。</w:t>
      </w:r>
    </w:p>
    <w:p>
      <w:pPr>
        <w:spacing w:line="360" w:lineRule="exact"/>
        <w:ind w:firstLine="440" w:firstLineChars="2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8.我方完全理解你们不一定将合同授予最低报价的竞标人。</w:t>
      </w:r>
    </w:p>
    <w:p>
      <w:pPr>
        <w:spacing w:line="360" w:lineRule="exact"/>
        <w:rPr>
          <w:rFonts w:ascii="宋体" w:hAnsi="宋体" w:cs="宋体"/>
          <w:bCs/>
          <w:color w:val="000000" w:themeColor="text1"/>
          <w:sz w:val="22"/>
          <w:szCs w:val="22"/>
          <w:highlight w:val="none"/>
          <w14:textFill>
            <w14:solidFill>
              <w14:schemeClr w14:val="tx1"/>
            </w14:solidFill>
          </w14:textFill>
        </w:rPr>
      </w:pP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 xml:space="preserve">竞 标 人： </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（盖单位章）</w:t>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 xml:space="preserve">法定代表人（单位负责人）或其委托代理人： </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（签字）</w:t>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地</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址： </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 </w:t>
      </w:r>
      <w:r>
        <w:rPr>
          <w:rFonts w:hint="eastAsia" w:ascii="宋体" w:hAnsi="宋体" w:cs="宋体"/>
          <w:bCs/>
          <w:color w:val="000000" w:themeColor="text1"/>
          <w:sz w:val="22"/>
          <w:szCs w:val="22"/>
          <w:highlight w:val="none"/>
          <w14:textFill>
            <w14:solidFill>
              <w14:schemeClr w14:val="tx1"/>
            </w14:solidFill>
          </w14:textFill>
        </w:rPr>
        <w:tab/>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电</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话： </w:t>
      </w:r>
      <w:r>
        <w:rPr>
          <w:rFonts w:hint="eastAsia" w:ascii="宋体" w:hAnsi="宋体" w:cs="宋体"/>
          <w:bCs/>
          <w:color w:val="000000" w:themeColor="text1"/>
          <w:sz w:val="22"/>
          <w:szCs w:val="22"/>
          <w:highlight w:val="none"/>
          <w14:textFill>
            <w14:solidFill>
              <w14:schemeClr w14:val="tx1"/>
            </w14:solidFill>
          </w14:textFill>
        </w:rPr>
        <w:tab/>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传</w:t>
      </w:r>
      <w:r>
        <w:rPr>
          <w:rFonts w:hint="eastAsia" w:ascii="宋体" w:hAnsi="宋体" w:cs="宋体"/>
          <w:bCs/>
          <w:color w:val="000000" w:themeColor="text1"/>
          <w:sz w:val="22"/>
          <w:szCs w:val="22"/>
          <w:highlight w:val="none"/>
          <w14:textFill>
            <w14:solidFill>
              <w14:schemeClr w14:val="tx1"/>
            </w14:solidFill>
          </w14:textFill>
        </w:rPr>
        <w:tab/>
      </w:r>
      <w:r>
        <w:rPr>
          <w:rFonts w:hint="eastAsia" w:ascii="宋体" w:hAnsi="宋体" w:cs="宋体"/>
          <w:bCs/>
          <w:color w:val="000000" w:themeColor="text1"/>
          <w:sz w:val="22"/>
          <w:szCs w:val="22"/>
          <w:highlight w:val="none"/>
          <w14:textFill>
            <w14:solidFill>
              <w14:schemeClr w14:val="tx1"/>
            </w14:solidFill>
          </w14:textFill>
        </w:rPr>
        <w:t xml:space="preserve">真： </w:t>
      </w:r>
      <w:r>
        <w:rPr>
          <w:rFonts w:hint="eastAsia" w:ascii="宋体" w:hAnsi="宋体" w:cs="宋体"/>
          <w:bCs/>
          <w:color w:val="000000" w:themeColor="text1"/>
          <w:sz w:val="22"/>
          <w:szCs w:val="22"/>
          <w:highlight w:val="none"/>
          <w14:textFill>
            <w14:solidFill>
              <w14:schemeClr w14:val="tx1"/>
            </w14:solidFill>
          </w14:textFill>
        </w:rPr>
        <w:tab/>
      </w:r>
    </w:p>
    <w:p>
      <w:pPr>
        <w:spacing w:line="360" w:lineRule="exact"/>
        <w:ind w:firstLine="3300" w:firstLineChars="1500"/>
        <w:rPr>
          <w:rFonts w:ascii="宋体" w:hAnsi="宋体" w:cs="宋体"/>
          <w:bCs/>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14:textFill>
            <w14:solidFill>
              <w14:schemeClr w14:val="tx1"/>
            </w14:solidFill>
          </w14:textFill>
        </w:rPr>
        <w:t xml:space="preserve">邮政编码： </w:t>
      </w:r>
      <w:r>
        <w:rPr>
          <w:rFonts w:hint="eastAsia" w:ascii="宋体" w:hAnsi="宋体" w:cs="宋体"/>
          <w:bCs/>
          <w:color w:val="000000" w:themeColor="text1"/>
          <w:sz w:val="22"/>
          <w:szCs w:val="22"/>
          <w:highlight w:val="none"/>
          <w14:textFill>
            <w14:solidFill>
              <w14:schemeClr w14:val="tx1"/>
            </w14:solidFill>
          </w14:textFill>
        </w:rPr>
        <w:tab/>
      </w:r>
    </w:p>
    <w:p>
      <w:pPr>
        <w:pStyle w:val="6"/>
        <w:rPr>
          <w:color w:val="000000" w:themeColor="text1"/>
          <w:highlight w:val="none"/>
          <w14:textFill>
            <w14:solidFill>
              <w14:schemeClr w14:val="tx1"/>
            </w14:solidFill>
          </w14:textFill>
        </w:rPr>
        <w:sectPr>
          <w:footerReference r:id="rId17" w:type="default"/>
          <w:pgSz w:w="11906" w:h="16838"/>
          <w:pgMar w:top="1417" w:right="1417" w:bottom="1417" w:left="1417" w:header="850" w:footer="850" w:gutter="0"/>
          <w:cols w:space="720" w:num="1"/>
          <w:docGrid w:linePitch="312" w:charSpace="0"/>
        </w:sectPr>
      </w:pPr>
      <w:r>
        <w:rPr>
          <w:rFonts w:hint="eastAsia" w:ascii="宋体" w:hAnsi="宋体" w:cs="宋体"/>
          <w:bCs w:val="0"/>
          <w:color w:val="000000" w:themeColor="text1"/>
          <w:sz w:val="22"/>
          <w:szCs w:val="22"/>
          <w:highlight w:val="none"/>
          <w14:textFill>
            <w14:solidFill>
              <w14:schemeClr w14:val="tx1"/>
            </w14:solidFill>
          </w14:textFill>
        </w:rPr>
        <w:t xml:space="preserve">           年 </w:t>
      </w:r>
      <w:r>
        <w:rPr>
          <w:rFonts w:hint="eastAsia" w:ascii="宋体" w:hAnsi="宋体" w:cs="宋体"/>
          <w:bCs w:val="0"/>
          <w:color w:val="000000" w:themeColor="text1"/>
          <w:sz w:val="22"/>
          <w:szCs w:val="22"/>
          <w:highlight w:val="none"/>
          <w14:textFill>
            <w14:solidFill>
              <w14:schemeClr w14:val="tx1"/>
            </w14:solidFill>
          </w14:textFill>
        </w:rPr>
        <w:tab/>
      </w:r>
      <w:r>
        <w:rPr>
          <w:rFonts w:hint="eastAsia" w:ascii="宋体" w:hAnsi="宋体" w:cs="宋体"/>
          <w:bCs w:val="0"/>
          <w:color w:val="000000" w:themeColor="text1"/>
          <w:sz w:val="22"/>
          <w:szCs w:val="22"/>
          <w:highlight w:val="none"/>
          <w14:textFill>
            <w14:solidFill>
              <w14:schemeClr w14:val="tx1"/>
            </w14:solidFill>
          </w14:textFill>
        </w:rPr>
        <w:t xml:space="preserve">月 </w:t>
      </w:r>
      <w:r>
        <w:rPr>
          <w:rFonts w:hint="eastAsia" w:ascii="宋体" w:hAnsi="宋体" w:cs="宋体"/>
          <w:bCs w:val="0"/>
          <w:color w:val="000000" w:themeColor="text1"/>
          <w:sz w:val="22"/>
          <w:szCs w:val="22"/>
          <w:highlight w:val="none"/>
          <w14:textFill>
            <w14:solidFill>
              <w14:schemeClr w14:val="tx1"/>
            </w14:solidFill>
          </w14:textFill>
        </w:rPr>
        <w:tab/>
      </w:r>
      <w:r>
        <w:rPr>
          <w:rFonts w:hint="eastAsia" w:ascii="宋体" w:hAnsi="宋体" w:cs="宋体"/>
          <w:bCs w:val="0"/>
          <w:color w:val="000000" w:themeColor="text1"/>
          <w:sz w:val="22"/>
          <w:szCs w:val="22"/>
          <w:highlight w:val="none"/>
          <w14:textFill>
            <w14:solidFill>
              <w14:schemeClr w14:val="tx1"/>
            </w14:solidFill>
          </w14:textFill>
        </w:rPr>
        <w:t>日</w:t>
      </w:r>
    </w:p>
    <w:p>
      <w:pPr>
        <w:tabs>
          <w:tab w:val="left" w:pos="-1680"/>
        </w:tabs>
        <w:spacing w:line="360" w:lineRule="auto"/>
        <w:jc w:val="center"/>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二、报价清单</w:t>
      </w:r>
    </w:p>
    <w:p>
      <w:pPr>
        <w:tabs>
          <w:tab w:val="left" w:pos="-1680"/>
        </w:tabs>
        <w:spacing w:line="360" w:lineRule="auto"/>
        <w:jc w:val="right"/>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单位：元</w:t>
      </w:r>
    </w:p>
    <w:p>
      <w:pPr>
        <w:spacing w:line="360" w:lineRule="auto"/>
        <w:ind w:firstLine="420" w:firstLineChars="20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1.竞标人应根据自身实际供货能力填写采购清单报价表中各子目的综合单价。</w:t>
      </w:r>
    </w:p>
    <w:p>
      <w:pPr>
        <w:spacing w:line="360" w:lineRule="auto"/>
        <w:ind w:firstLine="420" w:firstLineChars="200"/>
        <w:rPr>
          <w:rFonts w:ascii="宋体" w:hAnsi="宋体"/>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2.竞标人在采购清单报价表中填写的综合单价应为竞标人</w:t>
      </w:r>
      <w:r>
        <w:rPr>
          <w:rFonts w:hint="eastAsia" w:ascii="宋体" w:hAnsi="宋体"/>
          <w:color w:val="000000" w:themeColor="text1"/>
          <w:sz w:val="21"/>
          <w:szCs w:val="21"/>
          <w:highlight w:val="none"/>
          <w14:textFill>
            <w14:solidFill>
              <w14:schemeClr w14:val="tx1"/>
            </w14:solidFill>
          </w14:textFill>
        </w:rPr>
        <w:t>按照询比文件要求完成该项目全部服务内容的费用，包括：报价包含了竞标人的货物费、人工费、材料费、机械费、运输费、管理费、利润、风险等所有费用，在合同履行期间不得以任何理由提出综合单价变更的请求。</w:t>
      </w:r>
    </w:p>
    <w:p>
      <w:pPr>
        <w:spacing w:line="360" w:lineRule="auto"/>
        <w:ind w:firstLine="420" w:firstLineChars="20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3.采购清单报价表中综合单价在合同履行期间不调整。</w:t>
      </w:r>
    </w:p>
    <w:p>
      <w:pPr>
        <w:spacing w:line="360" w:lineRule="auto"/>
        <w:ind w:firstLine="420" w:firstLineChars="200"/>
        <w:rPr>
          <w:rFonts w:ascii="宋体" w:hAnsi="宋体" w:cs="宋体"/>
          <w:bCs/>
          <w:color w:val="000000" w:themeColor="text1"/>
          <w:sz w:val="21"/>
          <w:szCs w:val="21"/>
          <w:highlight w:val="none"/>
          <w14:textFill>
            <w14:solidFill>
              <w14:schemeClr w14:val="tx1"/>
            </w14:solidFill>
          </w14:textFill>
        </w:rPr>
      </w:pPr>
      <w:r>
        <w:rPr>
          <w:rFonts w:hint="eastAsia" w:ascii="宋体" w:hAnsi="宋体" w:cs="宋体"/>
          <w:bCs/>
          <w:color w:val="000000" w:themeColor="text1"/>
          <w:sz w:val="21"/>
          <w:szCs w:val="21"/>
          <w:highlight w:val="none"/>
          <w14:textFill>
            <w14:solidFill>
              <w14:schemeClr w14:val="tx1"/>
            </w14:solidFill>
          </w14:textFill>
        </w:rPr>
        <w:t>4.采购清单报价表中的各项费用均以人民币(元)结算。</w:t>
      </w:r>
    </w:p>
    <w:p>
      <w:pPr>
        <w:pStyle w:val="2"/>
        <w:ind w:left="0" w:leftChars="0" w:firstLine="0" w:firstLineChars="0"/>
        <w:rPr>
          <w:rFonts w:hint="eastAsia"/>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5.</w:t>
      </w:r>
      <w:r>
        <w:rPr>
          <w:rFonts w:hint="eastAsia"/>
          <w:color w:val="000000" w:themeColor="text1"/>
          <w:sz w:val="21"/>
          <w:szCs w:val="21"/>
          <w:highlight w:val="none"/>
          <w14:textFill>
            <w14:solidFill>
              <w14:schemeClr w14:val="tx1"/>
            </w14:solidFill>
          </w14:textFill>
        </w:rPr>
        <w:t>报价</w:t>
      </w:r>
      <w:r>
        <w:rPr>
          <w:color w:val="000000" w:themeColor="text1"/>
          <w:sz w:val="21"/>
          <w:szCs w:val="21"/>
          <w:highlight w:val="none"/>
          <w14:textFill>
            <w14:solidFill>
              <w14:schemeClr w14:val="tx1"/>
            </w14:solidFill>
          </w14:textFill>
        </w:rPr>
        <w:t>清单中暂定单价部分</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移动母婴室）</w:t>
      </w:r>
      <w:r>
        <w:rPr>
          <w:rFonts w:hint="eastAsia"/>
          <w:color w:val="000000" w:themeColor="text1"/>
          <w:sz w:val="21"/>
          <w:szCs w:val="21"/>
          <w:highlight w:val="none"/>
          <w14:textFill>
            <w14:solidFill>
              <w14:schemeClr w14:val="tx1"/>
            </w14:solidFill>
          </w14:textFill>
        </w:rPr>
        <w:t>和</w:t>
      </w:r>
      <w:r>
        <w:rPr>
          <w:color w:val="000000" w:themeColor="text1"/>
          <w:sz w:val="21"/>
          <w:szCs w:val="21"/>
          <w:highlight w:val="none"/>
          <w14:textFill>
            <w14:solidFill>
              <w14:schemeClr w14:val="tx1"/>
            </w14:solidFill>
          </w14:textFill>
        </w:rPr>
        <w:t>预留金部分</w:t>
      </w:r>
      <w:r>
        <w:rPr>
          <w:rFonts w:hint="eastAsia"/>
          <w:color w:val="000000" w:themeColor="text1"/>
          <w:sz w:val="21"/>
          <w:szCs w:val="21"/>
          <w:highlight w:val="none"/>
          <w14:textFill>
            <w14:solidFill>
              <w14:schemeClr w14:val="tx1"/>
            </w14:solidFill>
          </w14:textFill>
        </w:rPr>
        <w:t>为</w:t>
      </w:r>
      <w:r>
        <w:rPr>
          <w:color w:val="000000" w:themeColor="text1"/>
          <w:sz w:val="21"/>
          <w:szCs w:val="21"/>
          <w:highlight w:val="none"/>
          <w14:textFill>
            <w14:solidFill>
              <w14:schemeClr w14:val="tx1"/>
            </w14:solidFill>
          </w14:textFill>
        </w:rPr>
        <w:t>不可竞争费，竞标人不得对此项费用进行改</w:t>
      </w:r>
      <w:r>
        <w:rPr>
          <w:rFonts w:hint="eastAsia"/>
          <w:color w:val="000000" w:themeColor="text1"/>
          <w:sz w:val="21"/>
          <w:szCs w:val="21"/>
          <w:highlight w:val="none"/>
          <w14:textFill>
            <w14:solidFill>
              <w14:schemeClr w14:val="tx1"/>
            </w14:solidFill>
          </w14:textFill>
        </w:rPr>
        <w:t>动</w:t>
      </w:r>
      <w:r>
        <w:rPr>
          <w:color w:val="000000" w:themeColor="text1"/>
          <w:sz w:val="21"/>
          <w:szCs w:val="21"/>
          <w:highlight w:val="none"/>
          <w14:textFill>
            <w14:solidFill>
              <w14:schemeClr w14:val="tx1"/>
            </w14:solidFill>
          </w14:textFill>
        </w:rPr>
        <w:t>，否则作废标处理。</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20"/>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923"/>
        <w:gridCol w:w="250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序号</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项目名称</w:t>
            </w:r>
          </w:p>
        </w:tc>
        <w:tc>
          <w:tcPr>
            <w:tcW w:w="2504"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金额（元）</w:t>
            </w:r>
          </w:p>
        </w:tc>
        <w:tc>
          <w:tcPr>
            <w:tcW w:w="2006"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1</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便利店家具</w:t>
            </w:r>
          </w:p>
        </w:tc>
        <w:tc>
          <w:tcPr>
            <w:tcW w:w="2504" w:type="dxa"/>
            <w:vAlign w:val="center"/>
          </w:tcPr>
          <w:p>
            <w:pPr>
              <w:jc w:val="center"/>
              <w:rPr>
                <w:color w:val="000000" w:themeColor="text1"/>
                <w:sz w:val="28"/>
                <w:szCs w:val="28"/>
                <w:highlight w:val="none"/>
                <w14:textFill>
                  <w14:solidFill>
                    <w14:schemeClr w14:val="tx1"/>
                  </w14:solidFill>
                </w14:textFill>
              </w:rPr>
            </w:pPr>
          </w:p>
        </w:tc>
        <w:tc>
          <w:tcPr>
            <w:tcW w:w="2006" w:type="dxa"/>
            <w:vAlign w:val="center"/>
          </w:tcPr>
          <w:p>
            <w:pPr>
              <w:jc w:val="center"/>
              <w:rPr>
                <w:rFonts w:hint="eastAsia"/>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2</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客房家具</w:t>
            </w:r>
          </w:p>
        </w:tc>
        <w:tc>
          <w:tcPr>
            <w:tcW w:w="2504" w:type="dxa"/>
            <w:vAlign w:val="center"/>
          </w:tcPr>
          <w:p>
            <w:pPr>
              <w:jc w:val="center"/>
              <w:rPr>
                <w:color w:val="000000" w:themeColor="text1"/>
                <w:sz w:val="28"/>
                <w:szCs w:val="28"/>
                <w:highlight w:val="none"/>
                <w14:textFill>
                  <w14:solidFill>
                    <w14:schemeClr w14:val="tx1"/>
                  </w14:solidFill>
                </w14:textFill>
              </w:rPr>
            </w:pPr>
          </w:p>
        </w:tc>
        <w:tc>
          <w:tcPr>
            <w:tcW w:w="2006" w:type="dxa"/>
            <w:vAlign w:val="center"/>
          </w:tcPr>
          <w:p>
            <w:pPr>
              <w:jc w:val="cente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91"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3</w:t>
            </w:r>
          </w:p>
        </w:tc>
        <w:tc>
          <w:tcPr>
            <w:tcW w:w="2923" w:type="dxa"/>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青年之家家具</w:t>
            </w:r>
          </w:p>
        </w:tc>
        <w:tc>
          <w:tcPr>
            <w:tcW w:w="2504" w:type="dxa"/>
            <w:vAlign w:val="center"/>
          </w:tcPr>
          <w:p>
            <w:pPr>
              <w:jc w:val="center"/>
              <w:rPr>
                <w:color w:val="000000" w:themeColor="text1"/>
                <w:sz w:val="28"/>
                <w:szCs w:val="28"/>
                <w:highlight w:val="none"/>
                <w14:textFill>
                  <w14:solidFill>
                    <w14:schemeClr w14:val="tx1"/>
                  </w14:solidFill>
                </w14:textFill>
              </w:rPr>
            </w:pPr>
          </w:p>
        </w:tc>
        <w:tc>
          <w:tcPr>
            <w:tcW w:w="2006" w:type="dxa"/>
            <w:vAlign w:val="center"/>
          </w:tcPr>
          <w:p>
            <w:pPr>
              <w:jc w:val="center"/>
              <w:rPr>
                <w:color w:val="000000" w:themeColor="text1"/>
                <w:sz w:val="28"/>
                <w:szCs w:val="2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3714" w:type="dxa"/>
            <w:gridSpan w:val="2"/>
            <w:vAlign w:val="center"/>
          </w:tcPr>
          <w:p>
            <w:pPr>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总金额1+2+3（大写人民币）：</w:t>
            </w:r>
          </w:p>
        </w:tc>
        <w:tc>
          <w:tcPr>
            <w:tcW w:w="4510" w:type="dxa"/>
            <w:gridSpan w:val="2"/>
            <w:vAlign w:val="center"/>
          </w:tcPr>
          <w:p>
            <w:pPr>
              <w:jc w:val="center"/>
              <w:rPr>
                <w:color w:val="000000" w:themeColor="text1"/>
                <w:sz w:val="28"/>
                <w:szCs w:val="28"/>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tabs>
          <w:tab w:val="left" w:pos="-1680"/>
        </w:tabs>
        <w:spacing w:line="360" w:lineRule="auto"/>
        <w:ind w:firstLine="482" w:firstLineChars="200"/>
        <w:rPr>
          <w:rFonts w:ascii="宋体" w:hAnsi="宋体" w:cs="宋体"/>
          <w:color w:val="000000" w:themeColor="text1"/>
          <w:sz w:val="22"/>
          <w:szCs w:val="22"/>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    </w:t>
      </w:r>
    </w:p>
    <w:p>
      <w:pPr>
        <w:tabs>
          <w:tab w:val="left" w:pos="-1680"/>
        </w:tabs>
        <w:spacing w:line="360" w:lineRule="auto"/>
        <w:rPr>
          <w:rFonts w:ascii="宋体" w:hAnsi="宋体" w:cs="宋体"/>
          <w:color w:val="000000" w:themeColor="text1"/>
          <w:sz w:val="22"/>
          <w:szCs w:val="22"/>
          <w:highlight w:val="none"/>
          <w14:textFill>
            <w14:solidFill>
              <w14:schemeClr w14:val="tx1"/>
            </w14:solidFill>
          </w14:textFill>
        </w:rPr>
      </w:pPr>
    </w:p>
    <w:p>
      <w:pPr>
        <w:tabs>
          <w:tab w:val="left" w:pos="-1680"/>
        </w:tabs>
        <w:spacing w:line="360" w:lineRule="auto"/>
        <w:ind w:firstLine="3839" w:firstLineChars="1745"/>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竞标单位名称：</w:t>
      </w:r>
      <w:r>
        <w:rPr>
          <w:rFonts w:hint="eastAsia" w:ascii="宋体" w:hAnsi="宋体" w:cs="宋体"/>
          <w:color w:val="000000" w:themeColor="text1"/>
          <w:sz w:val="22"/>
          <w:szCs w:val="22"/>
          <w:highlight w:val="none"/>
          <w:u w:val="single"/>
          <w14:textFill>
            <w14:solidFill>
              <w14:schemeClr w14:val="tx1"/>
            </w14:solidFill>
          </w14:textFill>
        </w:rPr>
        <w:t xml:space="preserve">                     （盖章）     </w:t>
      </w:r>
    </w:p>
    <w:p>
      <w:pPr>
        <w:tabs>
          <w:tab w:val="left" w:pos="-1680"/>
        </w:tabs>
        <w:spacing w:line="360" w:lineRule="auto"/>
        <w:ind w:firstLine="3839" w:firstLineChars="1745"/>
        <w:rPr>
          <w:rFonts w:ascii="宋体" w:hAnsi="宋体" w:cs="宋体"/>
          <w:color w:val="000000" w:themeColor="text1"/>
          <w:sz w:val="22"/>
          <w:szCs w:val="22"/>
          <w:highlight w:val="none"/>
          <w:u w:val="singl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法定代表人或其授权的代理人：</w:t>
      </w:r>
      <w:r>
        <w:rPr>
          <w:rFonts w:hint="eastAsia" w:ascii="宋体" w:hAnsi="宋体" w:cs="宋体"/>
          <w:color w:val="000000" w:themeColor="text1"/>
          <w:sz w:val="22"/>
          <w:szCs w:val="22"/>
          <w:highlight w:val="none"/>
          <w:u w:val="single"/>
          <w14:textFill>
            <w14:solidFill>
              <w14:schemeClr w14:val="tx1"/>
            </w14:solidFill>
          </w14:textFill>
        </w:rPr>
        <w:t xml:space="preserve">      （签字）      </w:t>
      </w:r>
    </w:p>
    <w:p>
      <w:pPr>
        <w:tabs>
          <w:tab w:val="left" w:pos="-1680"/>
        </w:tabs>
        <w:spacing w:line="360" w:lineRule="auto"/>
        <w:ind w:firstLine="3839" w:firstLineChars="1745"/>
        <w:rPr>
          <w:rFonts w:ascii="宋体" w:hAnsi="宋体" w:cs="宋体"/>
          <w:b/>
          <w:bCs/>
          <w:color w:val="000000" w:themeColor="text1"/>
          <w:kern w:val="0"/>
          <w:sz w:val="32"/>
          <w:szCs w:val="3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 xml:space="preserve">                    </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月</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日</w:t>
      </w:r>
    </w:p>
    <w:p>
      <w:pPr>
        <w:adjustRightInd w:val="0"/>
        <w:snapToGrid w:val="0"/>
        <w:spacing w:line="360" w:lineRule="exact"/>
        <w:ind w:firstLine="321" w:firstLineChars="100"/>
        <w:jc w:val="center"/>
        <w:rPr>
          <w:rFonts w:ascii="宋体" w:hAnsi="宋体" w:cs="宋体"/>
          <w:b/>
          <w:bCs/>
          <w:color w:val="000000" w:themeColor="text1"/>
          <w:kern w:val="0"/>
          <w:sz w:val="32"/>
          <w:szCs w:val="32"/>
          <w:highlight w:val="none"/>
          <w14:textFill>
            <w14:solidFill>
              <w14:schemeClr w14:val="tx1"/>
            </w14:solidFill>
          </w14:textFill>
        </w:rPr>
      </w:pPr>
    </w:p>
    <w:p>
      <w:pPr>
        <w:adjustRightInd w:val="0"/>
        <w:snapToGrid w:val="0"/>
        <w:spacing w:line="360" w:lineRule="exact"/>
        <w:ind w:firstLine="321" w:firstLineChars="100"/>
        <w:jc w:val="center"/>
        <w:rPr>
          <w:rFonts w:ascii="宋体" w:hAnsi="宋体" w:cs="宋体"/>
          <w:b/>
          <w:bCs/>
          <w:color w:val="000000" w:themeColor="text1"/>
          <w:kern w:val="0"/>
          <w:sz w:val="32"/>
          <w:szCs w:val="32"/>
          <w:highlight w:val="none"/>
          <w14:textFill>
            <w14:solidFill>
              <w14:schemeClr w14:val="tx1"/>
            </w14:solidFill>
          </w14:textFill>
        </w:rPr>
      </w:pPr>
    </w:p>
    <w:p>
      <w:pPr>
        <w:adjustRightInd w:val="0"/>
        <w:snapToGrid w:val="0"/>
        <w:spacing w:line="360" w:lineRule="exact"/>
        <w:ind w:firstLine="321" w:firstLineChars="100"/>
        <w:jc w:val="center"/>
        <w:rPr>
          <w:rFonts w:ascii="宋体" w:hAnsi="宋体" w:cs="宋体"/>
          <w:b/>
          <w:bCs/>
          <w:color w:val="000000" w:themeColor="text1"/>
          <w:kern w:val="0"/>
          <w:sz w:val="32"/>
          <w:szCs w:val="32"/>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19"/>
        <w:tblW w:w="10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1061"/>
        <w:gridCol w:w="1896"/>
        <w:gridCol w:w="3563"/>
        <w:gridCol w:w="594"/>
        <w:gridCol w:w="771"/>
        <w:gridCol w:w="834"/>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10160" w:type="dxa"/>
            <w:gridSpan w:val="8"/>
            <w:shd w:val="clear" w:color="auto" w:fill="FFFFFF"/>
            <w:tcMar>
              <w:top w:w="15" w:type="dxa"/>
              <w:left w:w="15" w:type="dxa"/>
              <w:right w:w="15" w:type="dxa"/>
            </w:tcMar>
            <w:vAlign w:val="center"/>
          </w:tcPr>
          <w:p>
            <w:pPr>
              <w:widowControl/>
              <w:jc w:val="center"/>
              <w:textAlignment w:val="center"/>
              <w:rPr>
                <w:rFonts w:hint="eastAsia" w:ascii="宋体" w:hAnsi="宋体" w:cs="宋体"/>
                <w:b/>
                <w:color w:val="000000" w:themeColor="text1"/>
                <w:sz w:val="40"/>
                <w:szCs w:val="40"/>
                <w:highlight w:val="none"/>
                <w14:textFill>
                  <w14:solidFill>
                    <w14:schemeClr w14:val="tx1"/>
                  </w14:solidFill>
                </w14:textFill>
              </w:rPr>
            </w:pPr>
            <w:r>
              <w:rPr>
                <w:rFonts w:hint="eastAsia" w:ascii="宋体" w:hAnsi="宋体" w:cs="宋体"/>
                <w:b/>
                <w:color w:val="000000" w:themeColor="text1"/>
                <w:kern w:val="0"/>
                <w:sz w:val="40"/>
                <w:szCs w:val="40"/>
                <w:highlight w:val="none"/>
                <w:lang w:bidi="ar"/>
                <w14:textFill>
                  <w14:solidFill>
                    <w14:schemeClr w14:val="tx1"/>
                  </w14:solidFill>
                </w14:textFill>
              </w:rPr>
              <w:t>一、便利店家具报价清单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0160" w:type="dxa"/>
            <w:gridSpan w:val="8"/>
            <w:shd w:val="clear" w:color="auto" w:fill="FFFFFF"/>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（一</w:t>
            </w:r>
            <w:r>
              <w:rPr>
                <w:rFonts w:ascii="宋体" w:hAnsi="宋体" w:cs="宋体"/>
                <w:color w:val="000000" w:themeColor="text1"/>
                <w:kern w:val="0"/>
                <w:highlight w:val="none"/>
                <w:lang w:bidi="ar"/>
                <w14:textFill>
                  <w14:solidFill>
                    <w14:schemeClr w14:val="tx1"/>
                  </w14:solidFill>
                </w14:textFill>
              </w:rPr>
              <w:t>）</w:t>
            </w:r>
            <w:r>
              <w:rPr>
                <w:rFonts w:hint="eastAsia" w:ascii="宋体" w:hAnsi="宋体" w:cs="宋体"/>
                <w:color w:val="000000" w:themeColor="text1"/>
                <w:kern w:val="0"/>
                <w:highlight w:val="none"/>
                <w:lang w:bidi="ar"/>
                <w14:textFill>
                  <w14:solidFill>
                    <w14:schemeClr w14:val="tx1"/>
                  </w14:solidFill>
                </w14:textFill>
              </w:rPr>
              <w:t>、太湖服务区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序号</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设备名称</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图片</w:t>
            </w:r>
          </w:p>
        </w:tc>
        <w:tc>
          <w:tcPr>
            <w:tcW w:w="3563"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技术参数（mm）</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单位</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kern w:val="0"/>
                <w:sz w:val="21"/>
                <w:szCs w:val="21"/>
                <w:highlight w:val="none"/>
                <w:lang w:bidi="ar"/>
                <w14:textFill>
                  <w14:solidFill>
                    <w14:schemeClr w14:val="tx1"/>
                  </w14:solidFill>
                </w14:textFill>
              </w:rPr>
              <w:t>数量</w:t>
            </w:r>
          </w:p>
        </w:tc>
        <w:tc>
          <w:tcPr>
            <w:tcW w:w="834"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lang w:bidi="ar"/>
                <w14:textFill>
                  <w14:solidFill>
                    <w14:schemeClr w14:val="tx1"/>
                  </w14:solidFill>
                </w14:textFill>
              </w:rPr>
              <w:t>单价（元）</w:t>
            </w:r>
          </w:p>
        </w:tc>
        <w:tc>
          <w:tcPr>
            <w:tcW w:w="973"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lang w:bidi="ar"/>
                <w14:textFill>
                  <w14:solidFill>
                    <w14:schemeClr w14:val="tx1"/>
                  </w14:solidFill>
                </w14:textFill>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1"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端架(钢制热转印仿木纹)</w:t>
            </w:r>
          </w:p>
        </w:tc>
        <w:tc>
          <w:tcPr>
            <w:tcW w:w="1896" w:type="dxa"/>
            <w:vMerge w:val="restart"/>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3728" behindDoc="0" locked="0" layoutInCell="1" allowOverlap="1">
                  <wp:simplePos x="0" y="0"/>
                  <wp:positionH relativeFrom="column">
                    <wp:posOffset>124460</wp:posOffset>
                  </wp:positionH>
                  <wp:positionV relativeFrom="paragraph">
                    <wp:posOffset>295910</wp:posOffset>
                  </wp:positionV>
                  <wp:extent cx="1132840" cy="1122680"/>
                  <wp:effectExtent l="0" t="0" r="10160" b="1270"/>
                  <wp:wrapNone/>
                  <wp:docPr id="50" name="图片_2"/>
                  <wp:cNvGraphicFramePr/>
                  <a:graphic xmlns:a="http://schemas.openxmlformats.org/drawingml/2006/main">
                    <a:graphicData uri="http://schemas.openxmlformats.org/drawingml/2006/picture">
                      <pic:pic xmlns:pic="http://schemas.openxmlformats.org/drawingml/2006/picture">
                        <pic:nvPicPr>
                          <pic:cNvPr id="50" name="图片_2"/>
                          <pic:cNvPicPr/>
                        </pic:nvPicPr>
                        <pic:blipFill>
                          <a:blip r:embed="rId23"/>
                          <a:stretch>
                            <a:fillRect/>
                          </a:stretch>
                        </pic:blipFill>
                        <pic:spPr>
                          <a:xfrm>
                            <a:off x="0" y="0"/>
                            <a:ext cx="1132840" cy="1122680"/>
                          </a:xfrm>
                          <a:prstGeom prst="rect">
                            <a:avLst/>
                          </a:prstGeom>
                          <a:noFill/>
                          <a:ln>
                            <a:noFill/>
                          </a:ln>
                        </pic:spPr>
                      </pic:pic>
                    </a:graphicData>
                  </a:graphic>
                </wp:anchor>
              </w:drawing>
            </w:r>
          </w:p>
        </w:tc>
        <w:tc>
          <w:tcPr>
            <w:tcW w:w="3563" w:type="dxa"/>
            <w:vMerge w:val="restart"/>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端架 规格：900*450*1400 ；                     双面货架 规格：1200*900*1400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整体钢架采用原生冷轧钢材(深灰色)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2.立柱采用40*80方管净厚》1.5MM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3.前背板一次折弯成型，上扬款层板厚度》0.6MM ；                                            4.层板焊接加强筋》2条                           5.层板卡托臂处一次折弯成型净厚》2.0MM；                             6.层板外沿采用新款护栏式弧形PVC条，均配置顶盖板</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2"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双面货架(钢制热转印仿木纹)</w:t>
            </w:r>
          </w:p>
        </w:tc>
        <w:tc>
          <w:tcPr>
            <w:tcW w:w="1896" w:type="dxa"/>
            <w:vMerge w:val="continue"/>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vMerge w:val="continue"/>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9"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斜口篮(深灰色)</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4752" behindDoc="0" locked="0" layoutInCell="1" allowOverlap="1">
                  <wp:simplePos x="0" y="0"/>
                  <wp:positionH relativeFrom="column">
                    <wp:posOffset>447675</wp:posOffset>
                  </wp:positionH>
                  <wp:positionV relativeFrom="paragraph">
                    <wp:posOffset>142875</wp:posOffset>
                  </wp:positionV>
                  <wp:extent cx="572135" cy="723900"/>
                  <wp:effectExtent l="0" t="0" r="18415" b="0"/>
                  <wp:wrapNone/>
                  <wp:docPr id="45" name="图片_46"/>
                  <wp:cNvGraphicFramePr/>
                  <a:graphic xmlns:a="http://schemas.openxmlformats.org/drawingml/2006/main">
                    <a:graphicData uri="http://schemas.openxmlformats.org/drawingml/2006/picture">
                      <pic:pic xmlns:pic="http://schemas.openxmlformats.org/drawingml/2006/picture">
                        <pic:nvPicPr>
                          <pic:cNvPr id="45" name="图片_46"/>
                          <pic:cNvPicPr/>
                        </pic:nvPicPr>
                        <pic:blipFill>
                          <a:blip r:embed="rId24"/>
                          <a:stretch>
                            <a:fillRect/>
                          </a:stretch>
                        </pic:blipFill>
                        <pic:spPr>
                          <a:xfrm>
                            <a:off x="0" y="0"/>
                            <a:ext cx="572135" cy="72390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规格：1200*500                                   1.Φ6、Φ8钢丝组合焊接；                      2.酸洗磷化除锈；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3.喷粉静电喷塑，每层配置3个隔片。</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斜口篮吊牌</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5776" behindDoc="0" locked="0" layoutInCell="1" allowOverlap="1">
                  <wp:simplePos x="0" y="0"/>
                  <wp:positionH relativeFrom="column">
                    <wp:posOffset>323850</wp:posOffset>
                  </wp:positionH>
                  <wp:positionV relativeFrom="paragraph">
                    <wp:posOffset>123190</wp:posOffset>
                  </wp:positionV>
                  <wp:extent cx="619125" cy="438150"/>
                  <wp:effectExtent l="0" t="0" r="9525" b="0"/>
                  <wp:wrapNone/>
                  <wp:docPr id="46" name="图片_35"/>
                  <wp:cNvGraphicFramePr/>
                  <a:graphic xmlns:a="http://schemas.openxmlformats.org/drawingml/2006/main">
                    <a:graphicData uri="http://schemas.openxmlformats.org/drawingml/2006/picture">
                      <pic:pic xmlns:pic="http://schemas.openxmlformats.org/drawingml/2006/picture">
                        <pic:nvPicPr>
                          <pic:cNvPr id="46" name="图片_35"/>
                          <pic:cNvPicPr/>
                        </pic:nvPicPr>
                        <pic:blipFill>
                          <a:blip r:embed="rId25"/>
                          <a:stretch>
                            <a:fillRect/>
                          </a:stretch>
                        </pic:blipFill>
                        <pic:spPr>
                          <a:xfrm>
                            <a:off x="0" y="0"/>
                            <a:ext cx="619125" cy="4381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                                     1.原生料一次性成型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标价条</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6800" behindDoc="0" locked="0" layoutInCell="1" allowOverlap="1">
                  <wp:simplePos x="0" y="0"/>
                  <wp:positionH relativeFrom="column">
                    <wp:posOffset>353060</wp:posOffset>
                  </wp:positionH>
                  <wp:positionV relativeFrom="paragraph">
                    <wp:posOffset>84455</wp:posOffset>
                  </wp:positionV>
                  <wp:extent cx="704850" cy="438150"/>
                  <wp:effectExtent l="0" t="0" r="0" b="0"/>
                  <wp:wrapNone/>
                  <wp:docPr id="36" name="图片_24"/>
                  <wp:cNvGraphicFramePr/>
                  <a:graphic xmlns:a="http://schemas.openxmlformats.org/drawingml/2006/main">
                    <a:graphicData uri="http://schemas.openxmlformats.org/drawingml/2006/picture">
                      <pic:pic xmlns:pic="http://schemas.openxmlformats.org/drawingml/2006/picture">
                        <pic:nvPicPr>
                          <pic:cNvPr id="36" name="图片_24"/>
                          <pic:cNvPicPr/>
                        </pic:nvPicPr>
                        <pic:blipFill>
                          <a:blip r:embed="rId26"/>
                          <a:stretch>
                            <a:fillRect/>
                          </a:stretch>
                        </pic:blipFill>
                        <pic:spPr>
                          <a:xfrm>
                            <a:off x="0" y="0"/>
                            <a:ext cx="704850" cy="4381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规格：40*1000                                     原生料一次性折弯成型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条</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横梁(深灰色))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7824" behindDoc="0" locked="0" layoutInCell="1" allowOverlap="1">
                  <wp:simplePos x="0" y="0"/>
                  <wp:positionH relativeFrom="column">
                    <wp:posOffset>256540</wp:posOffset>
                  </wp:positionH>
                  <wp:positionV relativeFrom="paragraph">
                    <wp:posOffset>132715</wp:posOffset>
                  </wp:positionV>
                  <wp:extent cx="838835" cy="495935"/>
                  <wp:effectExtent l="0" t="0" r="18415" b="18415"/>
                  <wp:wrapNone/>
                  <wp:docPr id="43" name="图片_47"/>
                  <wp:cNvGraphicFramePr/>
                  <a:graphic xmlns:a="http://schemas.openxmlformats.org/drawingml/2006/main">
                    <a:graphicData uri="http://schemas.openxmlformats.org/drawingml/2006/picture">
                      <pic:pic xmlns:pic="http://schemas.openxmlformats.org/drawingml/2006/picture">
                        <pic:nvPicPr>
                          <pic:cNvPr id="43" name="图片_47"/>
                          <pic:cNvPicPr/>
                        </pic:nvPicPr>
                        <pic:blipFill>
                          <a:blip r:embed="rId27"/>
                          <a:stretch>
                            <a:fillRect/>
                          </a:stretch>
                        </pic:blipFill>
                        <pic:spPr>
                          <a:xfrm>
                            <a:off x="0" y="0"/>
                            <a:ext cx="838835" cy="4959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                               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横梁(深灰色))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8848" behindDoc="0" locked="0" layoutInCell="1" allowOverlap="1">
                  <wp:simplePos x="0" y="0"/>
                  <wp:positionH relativeFrom="column">
                    <wp:posOffset>256540</wp:posOffset>
                  </wp:positionH>
                  <wp:positionV relativeFrom="paragraph">
                    <wp:posOffset>132715</wp:posOffset>
                  </wp:positionV>
                  <wp:extent cx="838835" cy="495935"/>
                  <wp:effectExtent l="0" t="0" r="18415" b="18415"/>
                  <wp:wrapNone/>
                  <wp:docPr id="40" name="图片_47_SpCnt_1"/>
                  <wp:cNvGraphicFramePr/>
                  <a:graphic xmlns:a="http://schemas.openxmlformats.org/drawingml/2006/main">
                    <a:graphicData uri="http://schemas.openxmlformats.org/drawingml/2006/picture">
                      <pic:pic xmlns:pic="http://schemas.openxmlformats.org/drawingml/2006/picture">
                        <pic:nvPicPr>
                          <pic:cNvPr id="40" name="图片_47_SpCnt_1"/>
                          <pic:cNvPicPr/>
                        </pic:nvPicPr>
                        <pic:blipFill>
                          <a:blip r:embed="rId27"/>
                          <a:stretch>
                            <a:fillRect/>
                          </a:stretch>
                        </pic:blipFill>
                        <pic:spPr>
                          <a:xfrm>
                            <a:off x="0" y="0"/>
                            <a:ext cx="838835" cy="4959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                               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599872" behindDoc="0" locked="0" layoutInCell="1" allowOverlap="1">
                  <wp:simplePos x="0" y="0"/>
                  <wp:positionH relativeFrom="column">
                    <wp:posOffset>457835</wp:posOffset>
                  </wp:positionH>
                  <wp:positionV relativeFrom="paragraph">
                    <wp:posOffset>220345</wp:posOffset>
                  </wp:positionV>
                  <wp:extent cx="542290" cy="485140"/>
                  <wp:effectExtent l="0" t="0" r="10160" b="10160"/>
                  <wp:wrapNone/>
                  <wp:docPr id="48" name="图片_48"/>
                  <wp:cNvGraphicFramePr/>
                  <a:graphic xmlns:a="http://schemas.openxmlformats.org/drawingml/2006/main">
                    <a:graphicData uri="http://schemas.openxmlformats.org/drawingml/2006/picture">
                      <pic:pic xmlns:pic="http://schemas.openxmlformats.org/drawingml/2006/picture">
                        <pic:nvPicPr>
                          <pic:cNvPr id="48" name="图片_48"/>
                          <pic:cNvPicPr/>
                        </pic:nvPicPr>
                        <pic:blipFill>
                          <a:blip r:embed="rId28"/>
                          <a:stretch>
                            <a:fillRect/>
                          </a:stretch>
                        </pic:blipFill>
                        <pic:spPr>
                          <a:xfrm>
                            <a:off x="0" y="0"/>
                            <a:ext cx="542290" cy="48514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规格：φ8*35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270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1"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挂钩标签</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0896" behindDoc="0" locked="0" layoutInCell="1" allowOverlap="1">
                  <wp:simplePos x="0" y="0"/>
                  <wp:positionH relativeFrom="column">
                    <wp:posOffset>343535</wp:posOffset>
                  </wp:positionH>
                  <wp:positionV relativeFrom="paragraph">
                    <wp:posOffset>106045</wp:posOffset>
                  </wp:positionV>
                  <wp:extent cx="686435" cy="447675"/>
                  <wp:effectExtent l="0" t="0" r="18415" b="9525"/>
                  <wp:wrapNone/>
                  <wp:docPr id="53" name="图片_38"/>
                  <wp:cNvGraphicFramePr/>
                  <a:graphic xmlns:a="http://schemas.openxmlformats.org/drawingml/2006/main">
                    <a:graphicData uri="http://schemas.openxmlformats.org/drawingml/2006/picture">
                      <pic:pic xmlns:pic="http://schemas.openxmlformats.org/drawingml/2006/picture">
                        <pic:nvPicPr>
                          <pic:cNvPr id="53" name="图片_38"/>
                          <pic:cNvPicPr/>
                        </pic:nvPicPr>
                        <pic:blipFill>
                          <a:blip r:embed="rId29"/>
                          <a:stretch>
                            <a:fillRect/>
                          </a:stretch>
                        </pic:blipFill>
                        <pic:spPr>
                          <a:xfrm>
                            <a:off x="0" y="0"/>
                            <a:ext cx="686435" cy="44767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规格：400*250*300                                    1.原生料一次性注塑成型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0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4轮拉杆式购物篮</w:t>
            </w:r>
          </w:p>
        </w:tc>
        <w:tc>
          <w:tcPr>
            <w:tcW w:w="1896"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14:textFill>
                  <w14:solidFill>
                    <w14:schemeClr w14:val="tx1"/>
                  </w14:solidFill>
                </w14:textFill>
              </w:rPr>
              <w:drawing>
                <wp:anchor distT="0" distB="0" distL="114300" distR="114300" simplePos="0" relativeHeight="251601920" behindDoc="0" locked="0" layoutInCell="1" allowOverlap="1">
                  <wp:simplePos x="0" y="0"/>
                  <wp:positionH relativeFrom="column">
                    <wp:posOffset>27940</wp:posOffset>
                  </wp:positionH>
                  <wp:positionV relativeFrom="paragraph">
                    <wp:posOffset>48260</wp:posOffset>
                  </wp:positionV>
                  <wp:extent cx="1325245" cy="852170"/>
                  <wp:effectExtent l="0" t="0" r="8255" b="5080"/>
                  <wp:wrapNone/>
                  <wp:docPr id="42" name="图片_2_SpCnt_1"/>
                  <wp:cNvGraphicFramePr/>
                  <a:graphic xmlns:a="http://schemas.openxmlformats.org/drawingml/2006/main">
                    <a:graphicData uri="http://schemas.openxmlformats.org/drawingml/2006/picture">
                      <pic:pic xmlns:pic="http://schemas.openxmlformats.org/drawingml/2006/picture">
                        <pic:nvPicPr>
                          <pic:cNvPr id="42" name="图片_2_SpCnt_1"/>
                          <pic:cNvPicPr/>
                        </pic:nvPicPr>
                        <pic:blipFill>
                          <a:blip r:embed="rId30"/>
                          <a:stretch>
                            <a:fillRect/>
                          </a:stretch>
                        </pic:blipFill>
                        <pic:spPr>
                          <a:xfrm>
                            <a:off x="0" y="0"/>
                            <a:ext cx="1325245" cy="852170"/>
                          </a:xfrm>
                          <a:prstGeom prst="rect">
                            <a:avLst/>
                          </a:prstGeom>
                          <a:noFill/>
                          <a:ln>
                            <a:noFill/>
                          </a:ln>
                        </pic:spPr>
                      </pic:pic>
                    </a:graphicData>
                  </a:graphic>
                </wp:anchor>
              </w:drawing>
            </w:r>
          </w:p>
        </w:tc>
        <w:tc>
          <w:tcPr>
            <w:tcW w:w="3563" w:type="dxa"/>
            <w:shd w:val="clear" w:color="auto" w:fill="auto"/>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规格：上部：480*315*330  下部：370*190*330                                    1.原生料一次性注塑成型</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2.2个定向轮 2个万向轮</w:t>
            </w:r>
          </w:p>
        </w:tc>
        <w:tc>
          <w:tcPr>
            <w:tcW w:w="594"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34" w:type="dxa"/>
            <w:shd w:val="clear" w:color="auto" w:fill="auto"/>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auto"/>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1"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购物小推车(深灰色)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2944" behindDoc="0" locked="0" layoutInCell="1" allowOverlap="1">
                  <wp:simplePos x="0" y="0"/>
                  <wp:positionH relativeFrom="column">
                    <wp:posOffset>219075</wp:posOffset>
                  </wp:positionH>
                  <wp:positionV relativeFrom="paragraph">
                    <wp:posOffset>0</wp:posOffset>
                  </wp:positionV>
                  <wp:extent cx="800100" cy="862965"/>
                  <wp:effectExtent l="0" t="0" r="0" b="13335"/>
                  <wp:wrapNone/>
                  <wp:docPr id="49" name="图片_50"/>
                  <wp:cNvGraphicFramePr/>
                  <a:graphic xmlns:a="http://schemas.openxmlformats.org/drawingml/2006/main">
                    <a:graphicData uri="http://schemas.openxmlformats.org/drawingml/2006/picture">
                      <pic:pic xmlns:pic="http://schemas.openxmlformats.org/drawingml/2006/picture">
                        <pic:nvPicPr>
                          <pic:cNvPr id="49" name="图片_50"/>
                          <pic:cNvPicPr/>
                        </pic:nvPicPr>
                        <pic:blipFill>
                          <a:blip r:embed="rId31"/>
                          <a:stretch>
                            <a:fillRect/>
                          </a:stretch>
                        </pic:blipFill>
                        <pic:spPr>
                          <a:xfrm>
                            <a:off x="0" y="0"/>
                            <a:ext cx="800100" cy="86296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规格：400*250*300                                    1.整体采用原生冷轧钢材厚度》1.5MM；           2.酸洗磷化除锈；                               3.采用喷粉静电喷塑。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8"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托盘</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4992" behindDoc="0" locked="0" layoutInCell="1" allowOverlap="1">
                  <wp:simplePos x="0" y="0"/>
                  <wp:positionH relativeFrom="column">
                    <wp:posOffset>333375</wp:posOffset>
                  </wp:positionH>
                  <wp:positionV relativeFrom="paragraph">
                    <wp:posOffset>153670</wp:posOffset>
                  </wp:positionV>
                  <wp:extent cx="686435" cy="447675"/>
                  <wp:effectExtent l="0" t="0" r="18415" b="9525"/>
                  <wp:wrapNone/>
                  <wp:docPr id="52" name="图片_31"/>
                  <wp:cNvGraphicFramePr/>
                  <a:graphic xmlns:a="http://schemas.openxmlformats.org/drawingml/2006/main">
                    <a:graphicData uri="http://schemas.openxmlformats.org/drawingml/2006/picture">
                      <pic:pic xmlns:pic="http://schemas.openxmlformats.org/drawingml/2006/picture">
                        <pic:nvPicPr>
                          <pic:cNvPr id="52" name="图片_31"/>
                          <pic:cNvPicPr/>
                        </pic:nvPicPr>
                        <pic:blipFill>
                          <a:blip r:embed="rId32"/>
                          <a:stretch>
                            <a:fillRect/>
                          </a:stretch>
                        </pic:blipFill>
                        <pic:spPr>
                          <a:xfrm>
                            <a:off x="0" y="0"/>
                            <a:ext cx="686435" cy="44767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规格：1000*800*150                                   1.原生料一次性注塑成型;                               2.加强筋》4条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人字梯</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6016" behindDoc="0" locked="0" layoutInCell="1" allowOverlap="1">
                  <wp:simplePos x="0" y="0"/>
                  <wp:positionH relativeFrom="column">
                    <wp:posOffset>227330</wp:posOffset>
                  </wp:positionH>
                  <wp:positionV relativeFrom="paragraph">
                    <wp:posOffset>0</wp:posOffset>
                  </wp:positionV>
                  <wp:extent cx="809625" cy="744220"/>
                  <wp:effectExtent l="0" t="0" r="9525" b="17780"/>
                  <wp:wrapNone/>
                  <wp:docPr id="58" name="图片_65"/>
                  <wp:cNvGraphicFramePr/>
                  <a:graphic xmlns:a="http://schemas.openxmlformats.org/drawingml/2006/main">
                    <a:graphicData uri="http://schemas.openxmlformats.org/drawingml/2006/picture">
                      <pic:pic xmlns:pic="http://schemas.openxmlformats.org/drawingml/2006/picture">
                        <pic:nvPicPr>
                          <pic:cNvPr id="58" name="图片_65"/>
                          <pic:cNvPicPr/>
                        </pic:nvPicPr>
                        <pic:blipFill>
                          <a:blip r:embed="rId33"/>
                          <a:stretch>
                            <a:fillRect/>
                          </a:stretch>
                        </pic:blipFill>
                        <pic:spPr>
                          <a:xfrm>
                            <a:off x="0" y="0"/>
                            <a:ext cx="809625" cy="7442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分类: 平台1300*500*1900                      材质: 铁                                        颜色: 加厚白色四步梯                        承重等级: 150kg                                  类型: 单侧梯</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平板推车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07040" behindDoc="0" locked="0" layoutInCell="1" allowOverlap="1">
                  <wp:simplePos x="0" y="0"/>
                  <wp:positionH relativeFrom="column">
                    <wp:posOffset>181610</wp:posOffset>
                  </wp:positionH>
                  <wp:positionV relativeFrom="paragraph">
                    <wp:posOffset>0</wp:posOffset>
                  </wp:positionV>
                  <wp:extent cx="952500" cy="867410"/>
                  <wp:effectExtent l="0" t="0" r="0" b="8890"/>
                  <wp:wrapNone/>
                  <wp:docPr id="55" name="图片_66"/>
                  <wp:cNvGraphicFramePr/>
                  <a:graphic xmlns:a="http://schemas.openxmlformats.org/drawingml/2006/main">
                    <a:graphicData uri="http://schemas.openxmlformats.org/drawingml/2006/picture">
                      <pic:pic xmlns:pic="http://schemas.openxmlformats.org/drawingml/2006/picture">
                        <pic:nvPicPr>
                          <pic:cNvPr id="55" name="图片_66"/>
                          <pic:cNvPicPr/>
                        </pic:nvPicPr>
                        <pic:blipFill>
                          <a:blip r:embed="rId34"/>
                          <a:stretch>
                            <a:fillRect/>
                          </a:stretch>
                        </pic:blipFill>
                        <pic:spPr>
                          <a:xfrm>
                            <a:off x="0" y="0"/>
                            <a:ext cx="952500" cy="86741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分类: 平台900*600*860                        材质: 304不锈钢                                        颜色: 加厚白色                               自重: 11.3kg                               承重: 350kg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0112" behindDoc="0" locked="0" layoutInCell="1" allowOverlap="1">
                  <wp:simplePos x="0" y="0"/>
                  <wp:positionH relativeFrom="column">
                    <wp:posOffset>45720</wp:posOffset>
                  </wp:positionH>
                  <wp:positionV relativeFrom="paragraph">
                    <wp:posOffset>68580</wp:posOffset>
                  </wp:positionV>
                  <wp:extent cx="1105535" cy="1047750"/>
                  <wp:effectExtent l="0" t="0" r="0" b="0"/>
                  <wp:wrapNone/>
                  <wp:docPr id="57" name="图片_75"/>
                  <wp:cNvGraphicFramePr/>
                  <a:graphic xmlns:a="http://schemas.openxmlformats.org/drawingml/2006/main">
                    <a:graphicData uri="http://schemas.openxmlformats.org/drawingml/2006/picture">
                      <pic:pic xmlns:pic="http://schemas.openxmlformats.org/drawingml/2006/picture">
                        <pic:nvPicPr>
                          <pic:cNvPr id="57" name="图片_75"/>
                          <pic:cNvPicPr/>
                        </pic:nvPicPr>
                        <pic:blipFill>
                          <a:blip r:embed="rId35"/>
                          <a:stretch>
                            <a:fillRect/>
                          </a:stretch>
                        </pic:blipFill>
                        <pic:spPr>
                          <a:xfrm>
                            <a:off x="0" y="0"/>
                            <a:ext cx="1105535" cy="10477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规格：2600x600x860(以平面图尺寸为主）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1136" behindDoc="0" locked="0" layoutInCell="1" allowOverlap="1">
                  <wp:simplePos x="0" y="0"/>
                  <wp:positionH relativeFrom="column">
                    <wp:posOffset>36830</wp:posOffset>
                  </wp:positionH>
                  <wp:positionV relativeFrom="paragraph">
                    <wp:posOffset>-18415</wp:posOffset>
                  </wp:positionV>
                  <wp:extent cx="1066800" cy="807720"/>
                  <wp:effectExtent l="0" t="0" r="0" b="0"/>
                  <wp:wrapNone/>
                  <wp:docPr id="39" name="图片_74"/>
                  <wp:cNvGraphicFramePr/>
                  <a:graphic xmlns:a="http://schemas.openxmlformats.org/drawingml/2006/main">
                    <a:graphicData uri="http://schemas.openxmlformats.org/drawingml/2006/picture">
                      <pic:pic xmlns:pic="http://schemas.openxmlformats.org/drawingml/2006/picture">
                        <pic:nvPicPr>
                          <pic:cNvPr id="39" name="图片_74"/>
                          <pic:cNvPicPr/>
                        </pic:nvPicPr>
                        <pic:blipFill>
                          <a:blip r:embed="rId36"/>
                          <a:stretch>
                            <a:fillRect/>
                          </a:stretch>
                        </pic:blipFill>
                        <pic:spPr>
                          <a:xfrm>
                            <a:off x="0" y="0"/>
                            <a:ext cx="1066800" cy="8077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规格：1950x600x860(以平面图尺寸为主）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5"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玻璃香烟柜</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2160" behindDoc="0" locked="0" layoutInCell="1" allowOverlap="1">
                  <wp:simplePos x="0" y="0"/>
                  <wp:positionH relativeFrom="column">
                    <wp:posOffset>96520</wp:posOffset>
                  </wp:positionH>
                  <wp:positionV relativeFrom="paragraph">
                    <wp:posOffset>43815</wp:posOffset>
                  </wp:positionV>
                  <wp:extent cx="971550" cy="1419225"/>
                  <wp:effectExtent l="0" t="0" r="0" b="9525"/>
                  <wp:wrapNone/>
                  <wp:docPr id="41" name="图片_76"/>
                  <wp:cNvGraphicFramePr/>
                  <a:graphic xmlns:a="http://schemas.openxmlformats.org/drawingml/2006/main">
                    <a:graphicData uri="http://schemas.openxmlformats.org/drawingml/2006/picture">
                      <pic:pic xmlns:pic="http://schemas.openxmlformats.org/drawingml/2006/picture">
                        <pic:nvPicPr>
                          <pic:cNvPr id="41" name="图片_76"/>
                          <pic:cNvPicPr/>
                        </pic:nvPicPr>
                        <pic:blipFill>
                          <a:blip r:embed="rId37"/>
                          <a:stretch>
                            <a:fillRect/>
                          </a:stretch>
                        </pic:blipFill>
                        <pic:spPr>
                          <a:xfrm>
                            <a:off x="0" y="0"/>
                            <a:ext cx="971550" cy="141922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1、规格：1100x600x860(以平面图尺寸为主）                                                                                                             2.面材：厚度》0.6mm实木木皮贴面。台面采用白色石英石。玻璃采用10个厚钢化玻璃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8"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靠墙高柜(钢木结构)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3184" behindDoc="0" locked="0" layoutInCell="1" allowOverlap="1">
                  <wp:simplePos x="0" y="0"/>
                  <wp:positionH relativeFrom="column">
                    <wp:posOffset>103505</wp:posOffset>
                  </wp:positionH>
                  <wp:positionV relativeFrom="paragraph">
                    <wp:posOffset>-5715</wp:posOffset>
                  </wp:positionV>
                  <wp:extent cx="971550" cy="1617345"/>
                  <wp:effectExtent l="0" t="0" r="0" b="1905"/>
                  <wp:wrapNone/>
                  <wp:docPr id="38" name="图片_22"/>
                  <wp:cNvGraphicFramePr/>
                  <a:graphic xmlns:a="http://schemas.openxmlformats.org/drawingml/2006/main">
                    <a:graphicData uri="http://schemas.openxmlformats.org/drawingml/2006/picture">
                      <pic:pic xmlns:pic="http://schemas.openxmlformats.org/drawingml/2006/picture">
                        <pic:nvPicPr>
                          <pic:cNvPr id="38" name="图片_22"/>
                          <pic:cNvPicPr/>
                        </pic:nvPicPr>
                        <pic:blipFill>
                          <a:blip r:embed="rId38"/>
                          <a:stretch>
                            <a:fillRect/>
                          </a:stretch>
                        </pic:blipFill>
                        <pic:spPr>
                          <a:xfrm>
                            <a:off x="0" y="0"/>
                            <a:ext cx="971550" cy="161734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规格：1000x450x2150                            1.整体内部框架及立柱采用40*60方管净厚》1.5MM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 基材：》15mm厚多层板，                          2.面材：采用》 0.6mm 厚实木木皮贴面。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3.油漆：（易涂宝牌、大宝牌、华润牌）环保型聚脂漆表面油漆.                                                                  4、五金：( BMB、索驰、海蒂诗)五金配件，阻尼门铰链和阻尼三节静音导轨等系列五金件, 包括压克力板边条及标价牌                                     5.包括哑克力板边条及标价牌层板可随意高低调节，暗藏LED光带,顶部配有筒灯，3只/组高柜</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kern w:val="0"/>
                <w:sz w:val="20"/>
                <w:szCs w:val="20"/>
                <w:highlight w:val="none"/>
                <w:lang w:bidi="ar"/>
                <w14:textFill>
                  <w14:solidFill>
                    <w14:schemeClr w14:val="tx1"/>
                  </w14:solidFill>
                </w14:textFill>
              </w:rPr>
              <w:t>10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5"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超市部分眉头及柱体装饰板</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4208" behindDoc="0" locked="0" layoutInCell="1" allowOverlap="1">
                  <wp:simplePos x="0" y="0"/>
                  <wp:positionH relativeFrom="column">
                    <wp:posOffset>67945</wp:posOffset>
                  </wp:positionH>
                  <wp:positionV relativeFrom="paragraph">
                    <wp:posOffset>50165</wp:posOffset>
                  </wp:positionV>
                  <wp:extent cx="1095375" cy="807720"/>
                  <wp:effectExtent l="0" t="0" r="9525" b="0"/>
                  <wp:wrapNone/>
                  <wp:docPr id="54" name="图片_21"/>
                  <wp:cNvGraphicFramePr/>
                  <a:graphic xmlns:a="http://schemas.openxmlformats.org/drawingml/2006/main">
                    <a:graphicData uri="http://schemas.openxmlformats.org/drawingml/2006/picture">
                      <pic:pic xmlns:pic="http://schemas.openxmlformats.org/drawingml/2006/picture">
                        <pic:nvPicPr>
                          <pic:cNvPr id="54" name="图片_21"/>
                          <pic:cNvPicPr/>
                        </pic:nvPicPr>
                        <pic:blipFill>
                          <a:blip r:embed="rId39"/>
                          <a:stretch>
                            <a:fillRect/>
                          </a:stretch>
                        </pic:blipFill>
                        <pic:spPr>
                          <a:xfrm>
                            <a:off x="0" y="0"/>
                            <a:ext cx="1095375" cy="807720"/>
                          </a:xfrm>
                          <a:prstGeom prst="rect">
                            <a:avLst/>
                          </a:prstGeom>
                          <a:noFill/>
                          <a:ln>
                            <a:noFill/>
                          </a:ln>
                        </pic:spPr>
                      </pic:pic>
                    </a:graphicData>
                  </a:graphic>
                </wp:anchor>
              </w:drawing>
            </w:r>
          </w:p>
        </w:tc>
        <w:tc>
          <w:tcPr>
            <w:tcW w:w="3563"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规格：根据服务区吊顶层高及超市墙体长度定制                           1.基材：》采用多层板，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4.油漆：（易涂宝牌、大宝牌、华润牌）环保型聚脂漆表面油漆.                                                                  </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45</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5"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证件墙</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5232" behindDoc="0" locked="0" layoutInCell="1" allowOverlap="1">
                  <wp:simplePos x="0" y="0"/>
                  <wp:positionH relativeFrom="column">
                    <wp:posOffset>285750</wp:posOffset>
                  </wp:positionH>
                  <wp:positionV relativeFrom="paragraph">
                    <wp:posOffset>66040</wp:posOffset>
                  </wp:positionV>
                  <wp:extent cx="848360" cy="962660"/>
                  <wp:effectExtent l="0" t="0" r="8890" b="8890"/>
                  <wp:wrapNone/>
                  <wp:docPr id="51" name="Picture_6"/>
                  <wp:cNvGraphicFramePr/>
                  <a:graphic xmlns:a="http://schemas.openxmlformats.org/drawingml/2006/main">
                    <a:graphicData uri="http://schemas.openxmlformats.org/drawingml/2006/picture">
                      <pic:pic xmlns:pic="http://schemas.openxmlformats.org/drawingml/2006/picture">
                        <pic:nvPicPr>
                          <pic:cNvPr id="51" name="Picture_6"/>
                          <pic:cNvPicPr/>
                        </pic:nvPicPr>
                        <pic:blipFill>
                          <a:blip r:embed="rId40"/>
                          <a:stretch>
                            <a:fillRect/>
                          </a:stretch>
                        </pic:blipFill>
                        <pic:spPr>
                          <a:xfrm>
                            <a:off x="0" y="0"/>
                            <a:ext cx="848360" cy="96266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规格：1200x40x1000                          1.基材：》15mm厚多层板，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4.油漆：（易涂宝牌、大宝牌、华润牌）环保型聚脂漆表面油漆.                                                                  5、五金：( BMB、索驰、海蒂诗)五金配件，阻尼门铰链和阻尼三节静音导轨等系列五金件, 包括压克力板边条及标价牌                                  6.15mm厚哑克力证件形象插板。</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9"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手动液压叉车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6256" behindDoc="0" locked="0" layoutInCell="1" allowOverlap="1">
                  <wp:simplePos x="0" y="0"/>
                  <wp:positionH relativeFrom="column">
                    <wp:posOffset>84455</wp:posOffset>
                  </wp:positionH>
                  <wp:positionV relativeFrom="paragraph">
                    <wp:posOffset>122555</wp:posOffset>
                  </wp:positionV>
                  <wp:extent cx="847725" cy="771525"/>
                  <wp:effectExtent l="0" t="0" r="9525" b="9525"/>
                  <wp:wrapNone/>
                  <wp:docPr id="47" name="图片_3"/>
                  <wp:cNvGraphicFramePr/>
                  <a:graphic xmlns:a="http://schemas.openxmlformats.org/drawingml/2006/main">
                    <a:graphicData uri="http://schemas.openxmlformats.org/drawingml/2006/picture">
                      <pic:pic xmlns:pic="http://schemas.openxmlformats.org/drawingml/2006/picture">
                        <pic:nvPicPr>
                          <pic:cNvPr id="47" name="图片_3"/>
                          <pic:cNvPicPr/>
                        </pic:nvPicPr>
                        <pic:blipFill>
                          <a:blip r:embed="rId41"/>
                          <a:stretch>
                            <a:fillRect/>
                          </a:stretch>
                        </pic:blipFill>
                        <pic:spPr>
                          <a:xfrm>
                            <a:off x="0" y="0"/>
                            <a:ext cx="847725" cy="77152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品牌: 诺力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最大载荷: 1680kg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与80*100垫仓板配套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0160" w:type="dxa"/>
            <w:gridSpan w:val="8"/>
            <w:shd w:val="clear" w:color="auto" w:fill="FFFFFF"/>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（二</w:t>
            </w:r>
            <w:r>
              <w:rPr>
                <w:rFonts w:ascii="宋体" w:hAnsi="宋体" w:cs="宋体"/>
                <w:color w:val="000000" w:themeColor="text1"/>
                <w:kern w:val="0"/>
                <w:highlight w:val="none"/>
                <w:lang w:bidi="ar"/>
                <w14:textFill>
                  <w14:solidFill>
                    <w14:schemeClr w14:val="tx1"/>
                  </w14:solidFill>
                </w14:textFill>
              </w:rPr>
              <w:t>）、</w:t>
            </w:r>
            <w:r>
              <w:rPr>
                <w:rFonts w:hint="eastAsia" w:ascii="宋体" w:hAnsi="宋体" w:cs="宋体"/>
                <w:color w:val="000000" w:themeColor="text1"/>
                <w:kern w:val="0"/>
                <w:highlight w:val="none"/>
                <w:lang w:bidi="ar"/>
                <w14:textFill>
                  <w14:solidFill>
                    <w14:schemeClr w14:val="tx1"/>
                  </w14:solidFill>
                </w14:textFill>
              </w:rPr>
              <w:t>清溪服务区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端架(钢制热转印仿木纹)</w:t>
            </w:r>
          </w:p>
        </w:tc>
        <w:tc>
          <w:tcPr>
            <w:tcW w:w="1896" w:type="dxa"/>
            <w:vMerge w:val="restart"/>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7280" behindDoc="0" locked="0" layoutInCell="1" allowOverlap="1">
                  <wp:simplePos x="0" y="0"/>
                  <wp:positionH relativeFrom="column">
                    <wp:posOffset>26035</wp:posOffset>
                  </wp:positionH>
                  <wp:positionV relativeFrom="paragraph">
                    <wp:posOffset>12065</wp:posOffset>
                  </wp:positionV>
                  <wp:extent cx="1132840" cy="1143000"/>
                  <wp:effectExtent l="0" t="0" r="10160" b="0"/>
                  <wp:wrapNone/>
                  <wp:docPr id="56" name="图片_2_SpCnt_2"/>
                  <wp:cNvGraphicFramePr/>
                  <a:graphic xmlns:a="http://schemas.openxmlformats.org/drawingml/2006/main">
                    <a:graphicData uri="http://schemas.openxmlformats.org/drawingml/2006/picture">
                      <pic:pic xmlns:pic="http://schemas.openxmlformats.org/drawingml/2006/picture">
                        <pic:nvPicPr>
                          <pic:cNvPr id="56" name="图片_2_SpCnt_2"/>
                          <pic:cNvPicPr/>
                        </pic:nvPicPr>
                        <pic:blipFill>
                          <a:blip r:embed="rId42"/>
                          <a:stretch>
                            <a:fillRect/>
                          </a:stretch>
                        </pic:blipFill>
                        <pic:spPr>
                          <a:xfrm>
                            <a:off x="0" y="0"/>
                            <a:ext cx="1132840" cy="1143000"/>
                          </a:xfrm>
                          <a:prstGeom prst="rect">
                            <a:avLst/>
                          </a:prstGeom>
                          <a:noFill/>
                          <a:ln>
                            <a:noFill/>
                          </a:ln>
                        </pic:spPr>
                      </pic:pic>
                    </a:graphicData>
                  </a:graphic>
                </wp:anchor>
              </w:drawing>
            </w:r>
          </w:p>
        </w:tc>
        <w:tc>
          <w:tcPr>
            <w:tcW w:w="3563" w:type="dxa"/>
            <w:vMerge w:val="restart"/>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端架 规格：900*450*1400 ；                     双面货架 规格：900*900*1400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整体钢架采用原生冷轧钢材(黑色)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2.立柱采用40*80方管净厚》1.5MM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3.前背板一次折弯成型，上扬款层板厚度》0.6MM ；                                            4.层板焊接加强筋》2条                           5.层板卡托臂处一次折弯成型净厚》2.0MM；                             6.层板外沿采用新款护栏式弧形PVC条，均配置顶盖板</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8"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双面货架(钢制热转印仿木纹)</w:t>
            </w:r>
          </w:p>
        </w:tc>
        <w:tc>
          <w:tcPr>
            <w:tcW w:w="1896" w:type="dxa"/>
            <w:vMerge w:val="continue"/>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vMerge w:val="continue"/>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斜口篮(深灰色)</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8304" behindDoc="0" locked="0" layoutInCell="1" allowOverlap="1">
                  <wp:simplePos x="0" y="0"/>
                  <wp:positionH relativeFrom="column">
                    <wp:posOffset>447675</wp:posOffset>
                  </wp:positionH>
                  <wp:positionV relativeFrom="paragraph">
                    <wp:posOffset>142875</wp:posOffset>
                  </wp:positionV>
                  <wp:extent cx="572135" cy="723900"/>
                  <wp:effectExtent l="0" t="0" r="18415" b="0"/>
                  <wp:wrapNone/>
                  <wp:docPr id="37" name="图片_46_SpCnt_1"/>
                  <wp:cNvGraphicFramePr/>
                  <a:graphic xmlns:a="http://schemas.openxmlformats.org/drawingml/2006/main">
                    <a:graphicData uri="http://schemas.openxmlformats.org/drawingml/2006/picture">
                      <pic:pic xmlns:pic="http://schemas.openxmlformats.org/drawingml/2006/picture">
                        <pic:nvPicPr>
                          <pic:cNvPr id="37" name="图片_46_SpCnt_1"/>
                          <pic:cNvPicPr/>
                        </pic:nvPicPr>
                        <pic:blipFill>
                          <a:blip r:embed="rId43"/>
                          <a:stretch>
                            <a:fillRect/>
                          </a:stretch>
                        </pic:blipFill>
                        <pic:spPr>
                          <a:xfrm>
                            <a:off x="0" y="0"/>
                            <a:ext cx="572135" cy="72390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规格：900*500                                   1.Φ6、Φ8钢丝组合焊接；                      2.酸洗磷化除锈；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3.喷粉静电喷塑，每层配置3个隔片。</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32</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超市斜口塑料盒子</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19328" behindDoc="0" locked="0" layoutInCell="1" allowOverlap="1">
                  <wp:simplePos x="0" y="0"/>
                  <wp:positionH relativeFrom="column">
                    <wp:posOffset>266700</wp:posOffset>
                  </wp:positionH>
                  <wp:positionV relativeFrom="paragraph">
                    <wp:posOffset>77470</wp:posOffset>
                  </wp:positionV>
                  <wp:extent cx="866140" cy="610235"/>
                  <wp:effectExtent l="0" t="0" r="10160" b="18415"/>
                  <wp:wrapNone/>
                  <wp:docPr id="33" name="图片_61"/>
                  <wp:cNvGraphicFramePr/>
                  <a:graphic xmlns:a="http://schemas.openxmlformats.org/drawingml/2006/main">
                    <a:graphicData uri="http://schemas.openxmlformats.org/drawingml/2006/picture">
                      <pic:pic xmlns:pic="http://schemas.openxmlformats.org/drawingml/2006/picture">
                        <pic:nvPicPr>
                          <pic:cNvPr id="33" name="图片_61"/>
                          <pic:cNvPicPr/>
                        </pic:nvPicPr>
                        <pic:blipFill>
                          <a:blip r:embed="rId44"/>
                          <a:stretch>
                            <a:fillRect/>
                          </a:stretch>
                        </pic:blipFill>
                        <pic:spPr>
                          <a:xfrm>
                            <a:off x="0" y="0"/>
                            <a:ext cx="866140" cy="6102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规格：300*250*150                                   1.原生料一次性成型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2"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斜口篮吊牌</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0352" behindDoc="0" locked="0" layoutInCell="1" allowOverlap="1">
                  <wp:simplePos x="0" y="0"/>
                  <wp:positionH relativeFrom="column">
                    <wp:posOffset>323850</wp:posOffset>
                  </wp:positionH>
                  <wp:positionV relativeFrom="paragraph">
                    <wp:posOffset>123190</wp:posOffset>
                  </wp:positionV>
                  <wp:extent cx="619125" cy="438150"/>
                  <wp:effectExtent l="0" t="0" r="9525" b="0"/>
                  <wp:wrapNone/>
                  <wp:docPr id="7" name="图片_35_SpCnt_1"/>
                  <wp:cNvGraphicFramePr/>
                  <a:graphic xmlns:a="http://schemas.openxmlformats.org/drawingml/2006/main">
                    <a:graphicData uri="http://schemas.openxmlformats.org/drawingml/2006/picture">
                      <pic:pic xmlns:pic="http://schemas.openxmlformats.org/drawingml/2006/picture">
                        <pic:nvPicPr>
                          <pic:cNvPr id="7" name="图片_35_SpCnt_1"/>
                          <pic:cNvPicPr/>
                        </pic:nvPicPr>
                        <pic:blipFill>
                          <a:blip r:embed="rId45"/>
                          <a:stretch>
                            <a:fillRect/>
                          </a:stretch>
                        </pic:blipFill>
                        <pic:spPr>
                          <a:xfrm>
                            <a:off x="0" y="0"/>
                            <a:ext cx="619125" cy="43815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                                     1.原生料一次性成型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标价条</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1376" behindDoc="0" locked="0" layoutInCell="1" allowOverlap="1">
                  <wp:simplePos x="0" y="0"/>
                  <wp:positionH relativeFrom="column">
                    <wp:posOffset>295910</wp:posOffset>
                  </wp:positionH>
                  <wp:positionV relativeFrom="paragraph">
                    <wp:posOffset>123190</wp:posOffset>
                  </wp:positionV>
                  <wp:extent cx="704215" cy="439420"/>
                  <wp:effectExtent l="0" t="0" r="635" b="17780"/>
                  <wp:wrapNone/>
                  <wp:docPr id="12" name="图片_24_SpCnt_1"/>
                  <wp:cNvGraphicFramePr/>
                  <a:graphic xmlns:a="http://schemas.openxmlformats.org/drawingml/2006/main">
                    <a:graphicData uri="http://schemas.openxmlformats.org/drawingml/2006/picture">
                      <pic:pic xmlns:pic="http://schemas.openxmlformats.org/drawingml/2006/picture">
                        <pic:nvPicPr>
                          <pic:cNvPr id="12" name="图片_24_SpCnt_1"/>
                          <pic:cNvPicPr/>
                        </pic:nvPicPr>
                        <pic:blipFill>
                          <a:blip r:embed="rId46"/>
                          <a:stretch>
                            <a:fillRect/>
                          </a:stretch>
                        </pic:blipFill>
                        <pic:spPr>
                          <a:xfrm>
                            <a:off x="0" y="0"/>
                            <a:ext cx="704215" cy="4394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规格：40*1000                                     原生料一次性折弯成型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条</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680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横梁(深灰色))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2400" behindDoc="0" locked="0" layoutInCell="1" allowOverlap="1">
                  <wp:simplePos x="0" y="0"/>
                  <wp:positionH relativeFrom="column">
                    <wp:posOffset>256540</wp:posOffset>
                  </wp:positionH>
                  <wp:positionV relativeFrom="paragraph">
                    <wp:posOffset>171450</wp:posOffset>
                  </wp:positionV>
                  <wp:extent cx="838835" cy="495935"/>
                  <wp:effectExtent l="0" t="0" r="18415" b="18415"/>
                  <wp:wrapNone/>
                  <wp:docPr id="19" name="图片_47_SpCnt_2"/>
                  <wp:cNvGraphicFramePr/>
                  <a:graphic xmlns:a="http://schemas.openxmlformats.org/drawingml/2006/main">
                    <a:graphicData uri="http://schemas.openxmlformats.org/drawingml/2006/picture">
                      <pic:pic xmlns:pic="http://schemas.openxmlformats.org/drawingml/2006/picture">
                        <pic:nvPicPr>
                          <pic:cNvPr id="19" name="图片_47_SpCnt_2"/>
                          <pic:cNvPicPr/>
                        </pic:nvPicPr>
                        <pic:blipFill>
                          <a:blip r:embed="rId47"/>
                          <a:stretch>
                            <a:fillRect/>
                          </a:stretch>
                        </pic:blipFill>
                        <pic:spPr>
                          <a:xfrm>
                            <a:off x="0" y="0"/>
                            <a:ext cx="838835" cy="4959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规格：900；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                               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3424" behindDoc="0" locked="0" layoutInCell="1" allowOverlap="1">
                  <wp:simplePos x="0" y="0"/>
                  <wp:positionH relativeFrom="column">
                    <wp:posOffset>485140</wp:posOffset>
                  </wp:positionH>
                  <wp:positionV relativeFrom="paragraph">
                    <wp:posOffset>85090</wp:posOffset>
                  </wp:positionV>
                  <wp:extent cx="542925" cy="485140"/>
                  <wp:effectExtent l="0" t="0" r="9525" b="10160"/>
                  <wp:wrapNone/>
                  <wp:docPr id="15" name="图片_48_SpCnt_1"/>
                  <wp:cNvGraphicFramePr/>
                  <a:graphic xmlns:a="http://schemas.openxmlformats.org/drawingml/2006/main">
                    <a:graphicData uri="http://schemas.openxmlformats.org/drawingml/2006/picture">
                      <pic:pic xmlns:pic="http://schemas.openxmlformats.org/drawingml/2006/picture">
                        <pic:nvPicPr>
                          <pic:cNvPr id="15" name="图片_48_SpCnt_1"/>
                          <pic:cNvPicPr/>
                        </pic:nvPicPr>
                        <pic:blipFill>
                          <a:blip r:embed="rId48"/>
                          <a:stretch>
                            <a:fillRect/>
                          </a:stretch>
                        </pic:blipFill>
                        <pic:spPr>
                          <a:xfrm>
                            <a:off x="0" y="0"/>
                            <a:ext cx="542925" cy="48514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规格：φ8*35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1.整体采用原生冷轧钢材厚度》1.5MM；           2.酸洗磷化除锈；3.采用喷粉静电喷塑。</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540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挂钩标签</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4448" behindDoc="0" locked="0" layoutInCell="1" allowOverlap="1">
                  <wp:simplePos x="0" y="0"/>
                  <wp:positionH relativeFrom="column">
                    <wp:posOffset>419735</wp:posOffset>
                  </wp:positionH>
                  <wp:positionV relativeFrom="paragraph">
                    <wp:posOffset>106045</wp:posOffset>
                  </wp:positionV>
                  <wp:extent cx="453390" cy="295910"/>
                  <wp:effectExtent l="0" t="0" r="3810" b="8890"/>
                  <wp:wrapNone/>
                  <wp:docPr id="22" name="图片_38_SpCnt_1"/>
                  <wp:cNvGraphicFramePr/>
                  <a:graphic xmlns:a="http://schemas.openxmlformats.org/drawingml/2006/main">
                    <a:graphicData uri="http://schemas.openxmlformats.org/drawingml/2006/picture">
                      <pic:pic xmlns:pic="http://schemas.openxmlformats.org/drawingml/2006/picture">
                        <pic:nvPicPr>
                          <pic:cNvPr id="22" name="图片_38_SpCnt_1"/>
                          <pic:cNvPicPr/>
                        </pic:nvPicPr>
                        <pic:blipFill>
                          <a:blip r:embed="rId49"/>
                          <a:stretch>
                            <a:fillRect/>
                          </a:stretch>
                        </pic:blipFill>
                        <pic:spPr>
                          <a:xfrm>
                            <a:off x="0" y="0"/>
                            <a:ext cx="453390" cy="29591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规格：400*250*300                                    1.原生料一次性注塑成型</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300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2" w:hRule="atLeast"/>
        </w:trPr>
        <w:tc>
          <w:tcPr>
            <w:tcW w:w="468" w:type="dxa"/>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themeColor="text1"/>
                <w:sz w:val="20"/>
                <w:szCs w:val="20"/>
                <w:highlight w:val="none"/>
                <w14:textFill>
                  <w14:solidFill>
                    <w14:schemeClr w14:val="tx1"/>
                  </w14:solidFill>
                </w14:textFill>
              </w:rPr>
            </w:pPr>
            <w:r>
              <w:rPr>
                <w:rFonts w:hint="eastAsia" w:ascii="黑体" w:hAnsi="宋体" w:eastAsia="黑体" w:cs="黑体"/>
                <w:color w:val="000000" w:themeColor="text1"/>
                <w:kern w:val="0"/>
                <w:sz w:val="20"/>
                <w:szCs w:val="20"/>
                <w:highlight w:val="none"/>
                <w:lang w:bidi="ar"/>
                <w14:textFill>
                  <w14:solidFill>
                    <w14:schemeClr w14:val="tx1"/>
                  </w14:solidFill>
                </w14:textFill>
              </w:rPr>
              <w:t>10</w:t>
            </w:r>
          </w:p>
        </w:tc>
        <w:tc>
          <w:tcPr>
            <w:tcW w:w="10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4轮拉杆式购物篮</w:t>
            </w:r>
          </w:p>
        </w:tc>
        <w:tc>
          <w:tcPr>
            <w:tcW w:w="1896"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14:textFill>
                  <w14:solidFill>
                    <w14:schemeClr w14:val="tx1"/>
                  </w14:solidFill>
                </w14:textFill>
              </w:rPr>
              <w:drawing>
                <wp:anchor distT="0" distB="0" distL="114300" distR="114300" simplePos="0" relativeHeight="251625472" behindDoc="0" locked="0" layoutInCell="1" allowOverlap="1">
                  <wp:simplePos x="0" y="0"/>
                  <wp:positionH relativeFrom="column">
                    <wp:posOffset>170180</wp:posOffset>
                  </wp:positionH>
                  <wp:positionV relativeFrom="paragraph">
                    <wp:posOffset>94615</wp:posOffset>
                  </wp:positionV>
                  <wp:extent cx="857250" cy="681355"/>
                  <wp:effectExtent l="0" t="0" r="0" b="4445"/>
                  <wp:wrapNone/>
                  <wp:docPr id="35" name="图片_2_SpCnt_3"/>
                  <wp:cNvGraphicFramePr/>
                  <a:graphic xmlns:a="http://schemas.openxmlformats.org/drawingml/2006/main">
                    <a:graphicData uri="http://schemas.openxmlformats.org/drawingml/2006/picture">
                      <pic:pic xmlns:pic="http://schemas.openxmlformats.org/drawingml/2006/picture">
                        <pic:nvPicPr>
                          <pic:cNvPr id="35" name="图片_2_SpCnt_3"/>
                          <pic:cNvPicPr/>
                        </pic:nvPicPr>
                        <pic:blipFill>
                          <a:blip r:embed="rId50"/>
                          <a:stretch>
                            <a:fillRect/>
                          </a:stretch>
                        </pic:blipFill>
                        <pic:spPr>
                          <a:xfrm>
                            <a:off x="0" y="0"/>
                            <a:ext cx="857250" cy="681355"/>
                          </a:xfrm>
                          <a:prstGeom prst="rect">
                            <a:avLst/>
                          </a:prstGeom>
                          <a:noFill/>
                          <a:ln>
                            <a:noFill/>
                          </a:ln>
                        </pic:spPr>
                      </pic:pic>
                    </a:graphicData>
                  </a:graphic>
                </wp:anchor>
              </w:drawing>
            </w:r>
          </w:p>
        </w:tc>
        <w:tc>
          <w:tcPr>
            <w:tcW w:w="3563" w:type="dxa"/>
            <w:shd w:val="clear" w:color="auto" w:fill="auto"/>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规格：上部：480*315*330  下部：370*190*330                                    1.原生料一次性注塑成型</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2.2个定向轮 2个万向轮</w:t>
            </w:r>
          </w:p>
        </w:tc>
        <w:tc>
          <w:tcPr>
            <w:tcW w:w="594"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834" w:type="dxa"/>
            <w:shd w:val="clear" w:color="auto" w:fill="auto"/>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auto"/>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购物小推车(深灰色)</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6496" behindDoc="0" locked="0" layoutInCell="1" allowOverlap="1">
                  <wp:simplePos x="0" y="0"/>
                  <wp:positionH relativeFrom="column">
                    <wp:posOffset>171450</wp:posOffset>
                  </wp:positionH>
                  <wp:positionV relativeFrom="paragraph">
                    <wp:posOffset>0</wp:posOffset>
                  </wp:positionV>
                  <wp:extent cx="990600" cy="723265"/>
                  <wp:effectExtent l="0" t="0" r="0" b="635"/>
                  <wp:wrapNone/>
                  <wp:docPr id="18" name="图片_50_SpCnt_1"/>
                  <wp:cNvGraphicFramePr/>
                  <a:graphic xmlns:a="http://schemas.openxmlformats.org/drawingml/2006/main">
                    <a:graphicData uri="http://schemas.openxmlformats.org/drawingml/2006/picture">
                      <pic:pic xmlns:pic="http://schemas.openxmlformats.org/drawingml/2006/picture">
                        <pic:nvPicPr>
                          <pic:cNvPr id="18" name="图片_50_SpCnt_1"/>
                          <pic:cNvPicPr/>
                        </pic:nvPicPr>
                        <pic:blipFill>
                          <a:blip r:embed="rId31"/>
                          <a:stretch>
                            <a:fillRect/>
                          </a:stretch>
                        </pic:blipFill>
                        <pic:spPr>
                          <a:xfrm>
                            <a:off x="0" y="0"/>
                            <a:ext cx="990600" cy="72326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规格：400*250*300                                    1.整体采用原生冷轧钢材厚度》1.5MM；           2.酸洗磷化除锈；                               3.采用喷粉静电喷塑。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重型货架1</w:t>
            </w:r>
          </w:p>
        </w:tc>
        <w:tc>
          <w:tcPr>
            <w:tcW w:w="1896" w:type="dxa"/>
            <w:vMerge w:val="restart"/>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8544" behindDoc="0" locked="0" layoutInCell="1" allowOverlap="1">
                  <wp:simplePos x="0" y="0"/>
                  <wp:positionH relativeFrom="column">
                    <wp:posOffset>21590</wp:posOffset>
                  </wp:positionH>
                  <wp:positionV relativeFrom="paragraph">
                    <wp:posOffset>408305</wp:posOffset>
                  </wp:positionV>
                  <wp:extent cx="1114425" cy="1468120"/>
                  <wp:effectExtent l="0" t="0" r="9525" b="17780"/>
                  <wp:wrapNone/>
                  <wp:docPr id="10" name="图片_3_SpCnt_1"/>
                  <wp:cNvGraphicFramePr/>
                  <a:graphic xmlns:a="http://schemas.openxmlformats.org/drawingml/2006/main">
                    <a:graphicData uri="http://schemas.openxmlformats.org/drawingml/2006/picture">
                      <pic:pic xmlns:pic="http://schemas.openxmlformats.org/drawingml/2006/picture">
                        <pic:nvPicPr>
                          <pic:cNvPr id="10" name="图片_3_SpCnt_1"/>
                          <pic:cNvPicPr/>
                        </pic:nvPicPr>
                        <pic:blipFill>
                          <a:blip r:embed="rId51"/>
                          <a:stretch>
                            <a:fillRect/>
                          </a:stretch>
                        </pic:blipFill>
                        <pic:spPr>
                          <a:xfrm>
                            <a:off x="0" y="0"/>
                            <a:ext cx="1114425" cy="1468120"/>
                          </a:xfrm>
                          <a:prstGeom prst="rect">
                            <a:avLst/>
                          </a:prstGeom>
                          <a:noFill/>
                          <a:ln>
                            <a:noFill/>
                          </a:ln>
                        </pic:spPr>
                      </pic:pic>
                    </a:graphicData>
                  </a:graphic>
                </wp:anchor>
              </w:drawing>
            </w:r>
          </w:p>
        </w:tc>
        <w:tc>
          <w:tcPr>
            <w:tcW w:w="3563" w:type="dxa"/>
            <w:vMerge w:val="restart"/>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货架1规格：2000x600x2000                              1.整体采用原生冷轧钢材 ；                     2.立柱采用40*80方管净厚》1.5MM ；             3.前背板一次折弯成型，上扬款层板厚度》0.6MM ； 4.层板焊接加强筋》2条                                 5.层板卡托臂处一次折弯成型净厚》2.0MM；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货架2规格：1800x600x2000                              1.整体采用原生冷轧钢材 ；                     2.立柱采用40*80方管净厚》1.5MM ；             3.前背板一次折弯成型，上扬款层板厚度》0.6MM ；                                     4.层板焊接加强筋》2条                                 5.层板卡托臂处一次折弯成型净厚》2.0MM；</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9"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重型货架2</w:t>
            </w:r>
          </w:p>
        </w:tc>
        <w:tc>
          <w:tcPr>
            <w:tcW w:w="1896" w:type="dxa"/>
            <w:vMerge w:val="continue"/>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vMerge w:val="continue"/>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节</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托盘</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29568" behindDoc="0" locked="0" layoutInCell="1" allowOverlap="1">
                  <wp:simplePos x="0" y="0"/>
                  <wp:positionH relativeFrom="column">
                    <wp:posOffset>333375</wp:posOffset>
                  </wp:positionH>
                  <wp:positionV relativeFrom="paragraph">
                    <wp:posOffset>0</wp:posOffset>
                  </wp:positionV>
                  <wp:extent cx="686435" cy="601345"/>
                  <wp:effectExtent l="0" t="0" r="18415" b="8255"/>
                  <wp:wrapNone/>
                  <wp:docPr id="29" name="图片_31_SpCnt_1"/>
                  <wp:cNvGraphicFramePr/>
                  <a:graphic xmlns:a="http://schemas.openxmlformats.org/drawingml/2006/main">
                    <a:graphicData uri="http://schemas.openxmlformats.org/drawingml/2006/picture">
                      <pic:pic xmlns:pic="http://schemas.openxmlformats.org/drawingml/2006/picture">
                        <pic:nvPicPr>
                          <pic:cNvPr id="29" name="图片_31_SpCnt_1"/>
                          <pic:cNvPicPr/>
                        </pic:nvPicPr>
                        <pic:blipFill>
                          <a:blip r:embed="rId52"/>
                          <a:stretch>
                            <a:fillRect/>
                          </a:stretch>
                        </pic:blipFill>
                        <pic:spPr>
                          <a:xfrm>
                            <a:off x="0" y="0"/>
                            <a:ext cx="686435" cy="60134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规格：1000*800*150                                   1.原生料一次性注塑成型;                               2.加强筋》4条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手动液压叉车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0592" behindDoc="0" locked="0" layoutInCell="1" allowOverlap="1">
                  <wp:simplePos x="0" y="0"/>
                  <wp:positionH relativeFrom="column">
                    <wp:posOffset>408940</wp:posOffset>
                  </wp:positionH>
                  <wp:positionV relativeFrom="paragraph">
                    <wp:posOffset>152400</wp:posOffset>
                  </wp:positionV>
                  <wp:extent cx="763270" cy="531495"/>
                  <wp:effectExtent l="0" t="0" r="17780" b="1905"/>
                  <wp:wrapNone/>
                  <wp:docPr id="28" name="图片_3_SpCnt_2"/>
                  <wp:cNvGraphicFramePr/>
                  <a:graphic xmlns:a="http://schemas.openxmlformats.org/drawingml/2006/main">
                    <a:graphicData uri="http://schemas.openxmlformats.org/drawingml/2006/picture">
                      <pic:pic xmlns:pic="http://schemas.openxmlformats.org/drawingml/2006/picture">
                        <pic:nvPicPr>
                          <pic:cNvPr id="28" name="图片_3_SpCnt_2"/>
                          <pic:cNvPicPr/>
                        </pic:nvPicPr>
                        <pic:blipFill>
                          <a:blip r:embed="rId53"/>
                          <a:stretch>
                            <a:fillRect/>
                          </a:stretch>
                        </pic:blipFill>
                        <pic:spPr>
                          <a:xfrm>
                            <a:off x="0" y="0"/>
                            <a:ext cx="763270" cy="53149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品牌: 诺力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最大载荷: 1680kg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与80*100垫仓板配套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人字梯</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1616" behindDoc="0" locked="0" layoutInCell="1" allowOverlap="1">
                  <wp:simplePos x="0" y="0"/>
                  <wp:positionH relativeFrom="column">
                    <wp:posOffset>389255</wp:posOffset>
                  </wp:positionH>
                  <wp:positionV relativeFrom="paragraph">
                    <wp:posOffset>127000</wp:posOffset>
                  </wp:positionV>
                  <wp:extent cx="600075" cy="553085"/>
                  <wp:effectExtent l="0" t="0" r="9525" b="18415"/>
                  <wp:wrapNone/>
                  <wp:docPr id="30" name="图片_65_SpCnt_1"/>
                  <wp:cNvGraphicFramePr/>
                  <a:graphic xmlns:a="http://schemas.openxmlformats.org/drawingml/2006/main">
                    <a:graphicData uri="http://schemas.openxmlformats.org/drawingml/2006/picture">
                      <pic:pic xmlns:pic="http://schemas.openxmlformats.org/drawingml/2006/picture">
                        <pic:nvPicPr>
                          <pic:cNvPr id="30" name="图片_65_SpCnt_1"/>
                          <pic:cNvPicPr/>
                        </pic:nvPicPr>
                        <pic:blipFill>
                          <a:blip r:embed="rId54"/>
                          <a:stretch>
                            <a:fillRect/>
                          </a:stretch>
                        </pic:blipFill>
                        <pic:spPr>
                          <a:xfrm>
                            <a:off x="0" y="0"/>
                            <a:ext cx="600075" cy="55308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分类: 平台1300*500*1900                      材质: 铁                                        颜色: 加厚白色四步梯                        承重等级: 150kg                                  类型: 单侧梯</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17</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平板推车</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2640" behindDoc="0" locked="0" layoutInCell="1" allowOverlap="1">
                  <wp:simplePos x="0" y="0"/>
                  <wp:positionH relativeFrom="column">
                    <wp:posOffset>324485</wp:posOffset>
                  </wp:positionH>
                  <wp:positionV relativeFrom="paragraph">
                    <wp:posOffset>47625</wp:posOffset>
                  </wp:positionV>
                  <wp:extent cx="762000" cy="641985"/>
                  <wp:effectExtent l="0" t="0" r="0" b="5715"/>
                  <wp:wrapNone/>
                  <wp:docPr id="26" name="图片_66_SpCnt_1"/>
                  <wp:cNvGraphicFramePr/>
                  <a:graphic xmlns:a="http://schemas.openxmlformats.org/drawingml/2006/main">
                    <a:graphicData uri="http://schemas.openxmlformats.org/drawingml/2006/picture">
                      <pic:pic xmlns:pic="http://schemas.openxmlformats.org/drawingml/2006/picture">
                        <pic:nvPicPr>
                          <pic:cNvPr id="26" name="图片_66_SpCnt_1"/>
                          <pic:cNvPicPr/>
                        </pic:nvPicPr>
                        <pic:blipFill>
                          <a:blip r:embed="rId55"/>
                          <a:stretch>
                            <a:fillRect/>
                          </a:stretch>
                        </pic:blipFill>
                        <pic:spPr>
                          <a:xfrm>
                            <a:off x="0" y="0"/>
                            <a:ext cx="762000" cy="64198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分类: 平台900*600*860                        材质: 304不锈钢                                        颜色: 加厚白色                               自重: 11.3kg                               承重: 350kg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18</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二层地堆(钢木结构)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3664" behindDoc="0" locked="0" layoutInCell="1" allowOverlap="1">
                  <wp:simplePos x="0" y="0"/>
                  <wp:positionH relativeFrom="column">
                    <wp:posOffset>11430</wp:posOffset>
                  </wp:positionH>
                  <wp:positionV relativeFrom="paragraph">
                    <wp:posOffset>-1270</wp:posOffset>
                  </wp:positionV>
                  <wp:extent cx="1009650" cy="1207770"/>
                  <wp:effectExtent l="0" t="0" r="0" b="0"/>
                  <wp:wrapNone/>
                  <wp:docPr id="23" name="图片_71"/>
                  <wp:cNvGraphicFramePr/>
                  <a:graphic xmlns:a="http://schemas.openxmlformats.org/drawingml/2006/main">
                    <a:graphicData uri="http://schemas.openxmlformats.org/drawingml/2006/picture">
                      <pic:pic xmlns:pic="http://schemas.openxmlformats.org/drawingml/2006/picture">
                        <pic:nvPicPr>
                          <pic:cNvPr id="23" name="图片_71"/>
                          <pic:cNvPicPr/>
                        </pic:nvPicPr>
                        <pic:blipFill>
                          <a:blip r:embed="rId56"/>
                          <a:stretch>
                            <a:fillRect/>
                          </a:stretch>
                        </pic:blipFill>
                        <pic:spPr>
                          <a:xfrm>
                            <a:off x="0" y="0"/>
                            <a:ext cx="1009650" cy="120777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规格：1000*1300*800(以平面图尺寸为主）                                                                                                        1.立柱采用40*40方管净厚》1.5MM ；           2.基材：》15mm厚多层板，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5.油漆：（易涂宝牌、大宝牌、华润牌）环保型聚脂漆表面油漆.                                                                  6、五金：(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2"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19</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四面货架(钢制热转印仿木纹)</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4688" behindDoc="0" locked="0" layoutInCell="1" allowOverlap="1">
                  <wp:simplePos x="0" y="0"/>
                  <wp:positionH relativeFrom="column">
                    <wp:posOffset>113030</wp:posOffset>
                  </wp:positionH>
                  <wp:positionV relativeFrom="paragraph">
                    <wp:posOffset>39370</wp:posOffset>
                  </wp:positionV>
                  <wp:extent cx="880745" cy="1018540"/>
                  <wp:effectExtent l="0" t="0" r="14605" b="10160"/>
                  <wp:wrapNone/>
                  <wp:docPr id="31" name="图片_26"/>
                  <wp:cNvGraphicFramePr/>
                  <a:graphic xmlns:a="http://schemas.openxmlformats.org/drawingml/2006/main">
                    <a:graphicData uri="http://schemas.openxmlformats.org/drawingml/2006/picture">
                      <pic:pic xmlns:pic="http://schemas.openxmlformats.org/drawingml/2006/picture">
                        <pic:nvPicPr>
                          <pic:cNvPr id="31" name="图片_26"/>
                          <pic:cNvPicPr/>
                        </pic:nvPicPr>
                        <pic:blipFill>
                          <a:blip r:embed="rId57"/>
                          <a:stretch>
                            <a:fillRect/>
                          </a:stretch>
                        </pic:blipFill>
                        <pic:spPr>
                          <a:xfrm>
                            <a:off x="0" y="0"/>
                            <a:ext cx="880745" cy="101854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四面货架 规格：1000*1000*1400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整体钢架采用原生冷轧钢材(深灰色)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2.立柱采用40*80方管净厚》1.5MM ；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 3.前背板一次折弯成型，上扬款层板厚度》0.6MM ；                                            4.层板焊接加强筋》2条                           5.层板卡托臂处一次折弯成型净厚》2.0MM；                             6.层板外沿采用新款护栏式弧形PVC条，均配置顶盖板</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20</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组合地堆(钢木结构)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5712" behindDoc="0" locked="0" layoutInCell="1" allowOverlap="1">
                  <wp:simplePos x="0" y="0"/>
                  <wp:positionH relativeFrom="column">
                    <wp:posOffset>103505</wp:posOffset>
                  </wp:positionH>
                  <wp:positionV relativeFrom="paragraph">
                    <wp:posOffset>199390</wp:posOffset>
                  </wp:positionV>
                  <wp:extent cx="971550" cy="1324610"/>
                  <wp:effectExtent l="0" t="0" r="0" b="8890"/>
                  <wp:wrapNone/>
                  <wp:docPr id="20" name="图片_26_SpCnt_1"/>
                  <wp:cNvGraphicFramePr/>
                  <a:graphic xmlns:a="http://schemas.openxmlformats.org/drawingml/2006/main">
                    <a:graphicData uri="http://schemas.openxmlformats.org/drawingml/2006/picture">
                      <pic:pic xmlns:pic="http://schemas.openxmlformats.org/drawingml/2006/picture">
                        <pic:nvPicPr>
                          <pic:cNvPr id="20" name="图片_26_SpCnt_1"/>
                          <pic:cNvPicPr/>
                        </pic:nvPicPr>
                        <pic:blipFill>
                          <a:blip r:embed="rId58"/>
                          <a:stretch>
                            <a:fillRect/>
                          </a:stretch>
                        </pic:blipFill>
                        <pic:spPr>
                          <a:xfrm>
                            <a:off x="0" y="0"/>
                            <a:ext cx="971550" cy="132461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w:t>
            </w:r>
            <w:r>
              <w:rPr>
                <w:rStyle w:val="40"/>
                <w:rFonts w:hint="default"/>
                <w:color w:val="000000" w:themeColor="text1"/>
                <w:highlight w:val="none"/>
                <w:lang w:bidi="ar"/>
                <w14:textFill>
                  <w14:solidFill>
                    <w14:schemeClr w14:val="tx1"/>
                  </w14:solidFill>
                </w14:textFill>
              </w:rPr>
              <w:t xml:space="preserve">00*600*800(以平面图尺寸为主）                                                                                                        1.立柱采用40*40方管净厚》1.5MM ；           2.基材：》15mm厚多层板，              </w:t>
            </w:r>
            <w:r>
              <w:rPr>
                <w:rStyle w:val="40"/>
                <w:rFonts w:hint="default"/>
                <w:color w:val="000000" w:themeColor="text1"/>
                <w:highlight w:val="none"/>
                <w:lang w:bidi="ar"/>
                <w14:textFill>
                  <w14:solidFill>
                    <w14:schemeClr w14:val="tx1"/>
                  </w14:solidFill>
                </w14:textFill>
              </w:rPr>
              <w:br w:type="textWrapping"/>
            </w:r>
            <w:r>
              <w:rPr>
                <w:rStyle w:val="40"/>
                <w:rFonts w:hint="default"/>
                <w:color w:val="000000" w:themeColor="text1"/>
                <w:highlight w:val="none"/>
                <w:lang w:bidi="ar"/>
                <w14:textFill>
                  <w14:solidFill>
                    <w14:schemeClr w14:val="tx1"/>
                  </w14:solidFill>
                </w14:textFill>
              </w:rPr>
              <w:t>3.面材：厚度》0.6mm 实木木皮贴面。</w:t>
            </w:r>
            <w:r>
              <w:rPr>
                <w:rStyle w:val="40"/>
                <w:rFonts w:hint="default"/>
                <w:color w:val="000000" w:themeColor="text1"/>
                <w:highlight w:val="none"/>
                <w:lang w:bidi="ar"/>
                <w14:textFill>
                  <w14:solidFill>
                    <w14:schemeClr w14:val="tx1"/>
                  </w14:solidFill>
                </w14:textFill>
              </w:rPr>
              <w:br w:type="textWrapping"/>
            </w:r>
            <w:r>
              <w:rPr>
                <w:rStyle w:val="40"/>
                <w:rFonts w:hint="default"/>
                <w:color w:val="000000" w:themeColor="text1"/>
                <w:highlight w:val="none"/>
                <w:lang w:bidi="ar"/>
                <w14:textFill>
                  <w14:solidFill>
                    <w14:schemeClr w14:val="tx1"/>
                  </w14:solidFill>
                </w14:textFill>
              </w:rPr>
              <w:t xml:space="preserve">4.胶水：采用环保型家具专用胶水;               </w:t>
            </w:r>
            <w:r>
              <w:rPr>
                <w:rStyle w:val="40"/>
                <w:rFonts w:hint="default"/>
                <w:color w:val="000000" w:themeColor="text1"/>
                <w:highlight w:val="none"/>
                <w:lang w:bidi="ar"/>
                <w14:textFill>
                  <w14:solidFill>
                    <w14:schemeClr w14:val="tx1"/>
                  </w14:solidFill>
                </w14:textFill>
              </w:rPr>
              <w:br w:type="textWrapping"/>
            </w:r>
            <w:r>
              <w:rPr>
                <w:rStyle w:val="40"/>
                <w:rFonts w:hint="default"/>
                <w:color w:val="000000" w:themeColor="text1"/>
                <w:highlight w:val="none"/>
                <w:lang w:bidi="ar"/>
                <w14:textFill>
                  <w14:solidFill>
                    <w14:schemeClr w14:val="tx1"/>
                  </w14:solidFill>
                </w14:textFill>
              </w:rPr>
              <w:t>5.油漆：（易涂宝牌、大宝牌、华润牌）环保型聚脂漆表面油漆.                                                                  6、五金：(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21</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二层地堆(1)(钢木结构)</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6736" behindDoc="0" locked="0" layoutInCell="1" allowOverlap="1">
                  <wp:simplePos x="0" y="0"/>
                  <wp:positionH relativeFrom="column">
                    <wp:posOffset>48895</wp:posOffset>
                  </wp:positionH>
                  <wp:positionV relativeFrom="paragraph">
                    <wp:posOffset>219710</wp:posOffset>
                  </wp:positionV>
                  <wp:extent cx="990600" cy="972185"/>
                  <wp:effectExtent l="0" t="0" r="0" b="0"/>
                  <wp:wrapNone/>
                  <wp:docPr id="32" name="图片_72"/>
                  <wp:cNvGraphicFramePr/>
                  <a:graphic xmlns:a="http://schemas.openxmlformats.org/drawingml/2006/main">
                    <a:graphicData uri="http://schemas.openxmlformats.org/drawingml/2006/picture">
                      <pic:pic xmlns:pic="http://schemas.openxmlformats.org/drawingml/2006/picture">
                        <pic:nvPicPr>
                          <pic:cNvPr id="32" name="图片_72"/>
                          <pic:cNvPicPr/>
                        </pic:nvPicPr>
                        <pic:blipFill>
                          <a:blip r:embed="rId59"/>
                          <a:stretch>
                            <a:fillRect/>
                          </a:stretch>
                        </pic:blipFill>
                        <pic:spPr>
                          <a:xfrm>
                            <a:off x="0" y="0"/>
                            <a:ext cx="990600" cy="97218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规格：2000*940*1800(以平面图尺寸为主）       1.立柱采用40*40方管净厚》1.5MM ；           2.基材：》15mm厚多层板，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5.油漆：（易涂宝牌、大宝牌、华润牌）环保型聚脂漆表面油漆.                                                                  6、五金：(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22</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7760" behindDoc="0" locked="0" layoutInCell="1" allowOverlap="1">
                  <wp:simplePos x="0" y="0"/>
                  <wp:positionH relativeFrom="column">
                    <wp:posOffset>93980</wp:posOffset>
                  </wp:positionH>
                  <wp:positionV relativeFrom="paragraph">
                    <wp:posOffset>165100</wp:posOffset>
                  </wp:positionV>
                  <wp:extent cx="1019175" cy="1067435"/>
                  <wp:effectExtent l="0" t="0" r="9525" b="0"/>
                  <wp:wrapNone/>
                  <wp:docPr id="16" name="图片_75_SpCnt_1"/>
                  <wp:cNvGraphicFramePr/>
                  <a:graphic xmlns:a="http://schemas.openxmlformats.org/drawingml/2006/main">
                    <a:graphicData uri="http://schemas.openxmlformats.org/drawingml/2006/picture">
                      <pic:pic xmlns:pic="http://schemas.openxmlformats.org/drawingml/2006/picture">
                        <pic:nvPicPr>
                          <pic:cNvPr id="16" name="图片_75_SpCnt_1"/>
                          <pic:cNvPicPr/>
                        </pic:nvPicPr>
                        <pic:blipFill>
                          <a:blip r:embed="rId60"/>
                          <a:stretch>
                            <a:fillRect/>
                          </a:stretch>
                        </pic:blipFill>
                        <pic:spPr>
                          <a:xfrm>
                            <a:off x="0" y="0"/>
                            <a:ext cx="1019175" cy="10674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规格：2600x600x860(以平面图尺寸为主）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7"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23</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收银台1</w:t>
            </w:r>
          </w:p>
        </w:tc>
        <w:tc>
          <w:tcPr>
            <w:tcW w:w="1896"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8784" behindDoc="0" locked="0" layoutInCell="1" allowOverlap="1">
                  <wp:simplePos x="0" y="0"/>
                  <wp:positionH relativeFrom="column">
                    <wp:posOffset>55880</wp:posOffset>
                  </wp:positionH>
                  <wp:positionV relativeFrom="paragraph">
                    <wp:posOffset>-18415</wp:posOffset>
                  </wp:positionV>
                  <wp:extent cx="1038225" cy="807720"/>
                  <wp:effectExtent l="0" t="0" r="9525" b="0"/>
                  <wp:wrapNone/>
                  <wp:docPr id="34" name="图片_74_SpCnt_1"/>
                  <wp:cNvGraphicFramePr/>
                  <a:graphic xmlns:a="http://schemas.openxmlformats.org/drawingml/2006/main">
                    <a:graphicData uri="http://schemas.openxmlformats.org/drawingml/2006/picture">
                      <pic:pic xmlns:pic="http://schemas.openxmlformats.org/drawingml/2006/picture">
                        <pic:nvPicPr>
                          <pic:cNvPr id="34" name="图片_74_SpCnt_1"/>
                          <pic:cNvPicPr/>
                        </pic:nvPicPr>
                        <pic:blipFill>
                          <a:blip r:embed="rId61"/>
                          <a:stretch>
                            <a:fillRect/>
                          </a:stretch>
                        </pic:blipFill>
                        <pic:spPr>
                          <a:xfrm>
                            <a:off x="0" y="0"/>
                            <a:ext cx="1038225" cy="80772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规格：720x600x860(以平面图尺寸为主）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3" w:hRule="atLeast"/>
        </w:trPr>
        <w:tc>
          <w:tcPr>
            <w:tcW w:w="468" w:type="dxa"/>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themeColor="text1"/>
                <w:sz w:val="20"/>
                <w:szCs w:val="20"/>
                <w:highlight w:val="none"/>
                <w14:textFill>
                  <w14:solidFill>
                    <w14:schemeClr w14:val="tx1"/>
                  </w14:solidFill>
                </w14:textFill>
              </w:rPr>
            </w:pPr>
            <w:r>
              <w:rPr>
                <w:rFonts w:hint="eastAsia" w:ascii="黑体" w:hAnsi="宋体" w:eastAsia="黑体" w:cs="黑体"/>
                <w:color w:val="000000" w:themeColor="text1"/>
                <w:kern w:val="0"/>
                <w:sz w:val="20"/>
                <w:szCs w:val="20"/>
                <w:highlight w:val="none"/>
                <w:lang w:bidi="ar"/>
                <w14:textFill>
                  <w14:solidFill>
                    <w14:schemeClr w14:val="tx1"/>
                  </w14:solidFill>
                </w14:textFill>
              </w:rPr>
              <w:t>24</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玻璃香烟柜</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39808" behindDoc="0" locked="0" layoutInCell="1" allowOverlap="1">
                  <wp:simplePos x="0" y="0"/>
                  <wp:positionH relativeFrom="column">
                    <wp:posOffset>84455</wp:posOffset>
                  </wp:positionH>
                  <wp:positionV relativeFrom="paragraph">
                    <wp:posOffset>-12700</wp:posOffset>
                  </wp:positionV>
                  <wp:extent cx="1028700" cy="788035"/>
                  <wp:effectExtent l="0" t="0" r="0" b="0"/>
                  <wp:wrapNone/>
                  <wp:docPr id="27" name="图片_76_SpCnt_1"/>
                  <wp:cNvGraphicFramePr/>
                  <a:graphic xmlns:a="http://schemas.openxmlformats.org/drawingml/2006/main">
                    <a:graphicData uri="http://schemas.openxmlformats.org/drawingml/2006/picture">
                      <pic:pic xmlns:pic="http://schemas.openxmlformats.org/drawingml/2006/picture">
                        <pic:nvPicPr>
                          <pic:cNvPr id="27" name="图片_76_SpCnt_1"/>
                          <pic:cNvPicPr/>
                        </pic:nvPicPr>
                        <pic:blipFill>
                          <a:blip r:embed="rId37"/>
                          <a:stretch>
                            <a:fillRect/>
                          </a:stretch>
                        </pic:blipFill>
                        <pic:spPr>
                          <a:xfrm>
                            <a:off x="0" y="0"/>
                            <a:ext cx="1028700" cy="78803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1、规格：1320x600x860(以平面图尺寸为主）                                                                                                             2.面材：厚度》0.6mm实木木皮贴面。台面采用白色石英石。玻璃采用10个厚钢化玻璃</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6"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超市部分眉头装饰板</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0832" behindDoc="0" locked="0" layoutInCell="1" allowOverlap="1">
                  <wp:simplePos x="0" y="0"/>
                  <wp:positionH relativeFrom="column">
                    <wp:posOffset>65405</wp:posOffset>
                  </wp:positionH>
                  <wp:positionV relativeFrom="paragraph">
                    <wp:posOffset>0</wp:posOffset>
                  </wp:positionV>
                  <wp:extent cx="1067435" cy="617855"/>
                  <wp:effectExtent l="0" t="0" r="0" b="0"/>
                  <wp:wrapNone/>
                  <wp:docPr id="14" name="图片_25"/>
                  <wp:cNvGraphicFramePr/>
                  <a:graphic xmlns:a="http://schemas.openxmlformats.org/drawingml/2006/main">
                    <a:graphicData uri="http://schemas.openxmlformats.org/drawingml/2006/picture">
                      <pic:pic xmlns:pic="http://schemas.openxmlformats.org/drawingml/2006/picture">
                        <pic:nvPicPr>
                          <pic:cNvPr id="14" name="图片_25"/>
                          <pic:cNvPicPr/>
                        </pic:nvPicPr>
                        <pic:blipFill>
                          <a:blip r:embed="rId62"/>
                          <a:stretch>
                            <a:fillRect/>
                          </a:stretch>
                        </pic:blipFill>
                        <pic:spPr>
                          <a:xfrm>
                            <a:off x="0" y="0"/>
                            <a:ext cx="1067435" cy="617855"/>
                          </a:xfrm>
                          <a:prstGeom prst="rect">
                            <a:avLst/>
                          </a:prstGeom>
                          <a:noFill/>
                          <a:ln>
                            <a:noFill/>
                          </a:ln>
                        </pic:spPr>
                      </pic:pic>
                    </a:graphicData>
                  </a:graphic>
                </wp:anchor>
              </w:drawing>
            </w:r>
          </w:p>
        </w:tc>
        <w:tc>
          <w:tcPr>
            <w:tcW w:w="3563"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规格：根据服务区吊顶层高及超市墙体长度定制                           1.基材：》采用多层板，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4.油漆：（易涂宝牌、大宝牌、华润牌）环保型聚脂漆表面油漆.                                                                  </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平方</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35</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3" w:hRule="atLeast"/>
        </w:trPr>
        <w:tc>
          <w:tcPr>
            <w:tcW w:w="46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26</w:t>
            </w:r>
          </w:p>
        </w:tc>
        <w:tc>
          <w:tcPr>
            <w:tcW w:w="10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证件墙</w:t>
            </w:r>
          </w:p>
        </w:tc>
        <w:tc>
          <w:tcPr>
            <w:tcW w:w="1896"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1856" behindDoc="0" locked="0" layoutInCell="1" allowOverlap="1">
                  <wp:simplePos x="0" y="0"/>
                  <wp:positionH relativeFrom="column">
                    <wp:posOffset>285750</wp:posOffset>
                  </wp:positionH>
                  <wp:positionV relativeFrom="paragraph">
                    <wp:posOffset>0</wp:posOffset>
                  </wp:positionV>
                  <wp:extent cx="848360" cy="1028700"/>
                  <wp:effectExtent l="0" t="0" r="8890" b="0"/>
                  <wp:wrapNone/>
                  <wp:docPr id="25" name="Picture_6_SpCnt_1"/>
                  <wp:cNvGraphicFramePr/>
                  <a:graphic xmlns:a="http://schemas.openxmlformats.org/drawingml/2006/main">
                    <a:graphicData uri="http://schemas.openxmlformats.org/drawingml/2006/picture">
                      <pic:pic xmlns:pic="http://schemas.openxmlformats.org/drawingml/2006/picture">
                        <pic:nvPicPr>
                          <pic:cNvPr id="25" name="Picture_6_SpCnt_1"/>
                          <pic:cNvPicPr/>
                        </pic:nvPicPr>
                        <pic:blipFill>
                          <a:blip r:embed="rId63"/>
                          <a:stretch>
                            <a:fillRect/>
                          </a:stretch>
                        </pic:blipFill>
                        <pic:spPr>
                          <a:xfrm>
                            <a:off x="0" y="0"/>
                            <a:ext cx="848360" cy="102870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规格：1200x40x1000                          1.基材：》15mm厚多层板，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 实木木皮贴面。</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3.胶水：采用环保型家具专用胶水;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4.油漆：（易涂宝牌、大宝牌、华润牌）环保型聚脂漆表面油漆.                                                                  5、五金：( BMB、索驰、海蒂诗)五金配件，阻尼门铰链和阻尼三节静音导轨等系列五金件, 包括压克力板边条及标价牌                                  6.15mm厚哑克力证件形象插板。</w:t>
            </w:r>
          </w:p>
        </w:tc>
        <w:tc>
          <w:tcPr>
            <w:tcW w:w="59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套</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834"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10160" w:type="dxa"/>
            <w:gridSpan w:val="8"/>
            <w:shd w:val="clear" w:color="auto" w:fill="auto"/>
            <w:noWrap/>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（三）、其它服务区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1</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垫仓板</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2880" behindDoc="0" locked="0" layoutInCell="1" allowOverlap="1">
                  <wp:simplePos x="0" y="0"/>
                  <wp:positionH relativeFrom="column">
                    <wp:posOffset>123825</wp:posOffset>
                  </wp:positionH>
                  <wp:positionV relativeFrom="paragraph">
                    <wp:posOffset>95250</wp:posOffset>
                  </wp:positionV>
                  <wp:extent cx="962025" cy="468630"/>
                  <wp:effectExtent l="0" t="0" r="9525" b="7620"/>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64"/>
                          <a:stretch>
                            <a:fillRect/>
                          </a:stretch>
                        </pic:blipFill>
                        <pic:spPr>
                          <a:xfrm>
                            <a:off x="0" y="0"/>
                            <a:ext cx="962025" cy="468630"/>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规格：1000*800*15                                 1.原生料一次性注塑成型;                               2.加强筋》4条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460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45"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2</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仓库货架</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3904" behindDoc="0" locked="0" layoutInCell="1" allowOverlap="1">
                  <wp:simplePos x="0" y="0"/>
                  <wp:positionH relativeFrom="column">
                    <wp:posOffset>257175</wp:posOffset>
                  </wp:positionH>
                  <wp:positionV relativeFrom="paragraph">
                    <wp:posOffset>228600</wp:posOffset>
                  </wp:positionV>
                  <wp:extent cx="857250" cy="915035"/>
                  <wp:effectExtent l="0" t="0" r="0" b="18415"/>
                  <wp:wrapNone/>
                  <wp:docPr id="11" name="图片_3_SpCnt_3"/>
                  <wp:cNvGraphicFramePr/>
                  <a:graphic xmlns:a="http://schemas.openxmlformats.org/drawingml/2006/main">
                    <a:graphicData uri="http://schemas.openxmlformats.org/drawingml/2006/picture">
                      <pic:pic xmlns:pic="http://schemas.openxmlformats.org/drawingml/2006/picture">
                        <pic:nvPicPr>
                          <pic:cNvPr id="11" name="图片_3_SpCnt_3"/>
                          <pic:cNvPicPr/>
                        </pic:nvPicPr>
                        <pic:blipFill>
                          <a:blip r:embed="rId65"/>
                          <a:stretch>
                            <a:fillRect/>
                          </a:stretch>
                        </pic:blipFill>
                        <pic:spPr>
                          <a:xfrm>
                            <a:off x="0" y="0"/>
                            <a:ext cx="857250" cy="915035"/>
                          </a:xfrm>
                          <a:prstGeom prst="rect">
                            <a:avLst/>
                          </a:prstGeom>
                          <a:noFill/>
                          <a:ln>
                            <a:noFill/>
                          </a:ln>
                        </pic:spPr>
                      </pic:pic>
                    </a:graphicData>
                  </a:graphic>
                </wp:anchor>
              </w:drawing>
            </w:r>
          </w:p>
        </w:tc>
        <w:tc>
          <w:tcPr>
            <w:tcW w:w="3563"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货架2规格：1800x600x2000                              1.整体采用原生冷轧钢材 ；                     2.立柱采用40*80方管净厚》1.5MM ；             3.前背板一次折弯成型，上扬款层板厚度》0.6MM ；                                     4.层板焊接加强筋》2条                                 5.层板卡托臂处一次折弯成型净厚2.0MM；</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00"/>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251</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5"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增加副收银台</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4928" behindDoc="0" locked="0" layoutInCell="1" allowOverlap="1">
                  <wp:simplePos x="0" y="0"/>
                  <wp:positionH relativeFrom="column">
                    <wp:posOffset>74930</wp:posOffset>
                  </wp:positionH>
                  <wp:positionV relativeFrom="paragraph">
                    <wp:posOffset>316230</wp:posOffset>
                  </wp:positionV>
                  <wp:extent cx="990600" cy="791845"/>
                  <wp:effectExtent l="0" t="0" r="0" b="8255"/>
                  <wp:wrapNone/>
                  <wp:docPr id="17" name="图片_75_SpCnt_2"/>
                  <wp:cNvGraphicFramePr/>
                  <a:graphic xmlns:a="http://schemas.openxmlformats.org/drawingml/2006/main">
                    <a:graphicData uri="http://schemas.openxmlformats.org/drawingml/2006/picture">
                      <pic:pic xmlns:pic="http://schemas.openxmlformats.org/drawingml/2006/picture">
                        <pic:nvPicPr>
                          <pic:cNvPr id="17" name="图片_75_SpCnt_2"/>
                          <pic:cNvPicPr/>
                        </pic:nvPicPr>
                        <pic:blipFill>
                          <a:blip r:embed="rId66"/>
                          <a:stretch>
                            <a:fillRect/>
                          </a:stretch>
                        </pic:blipFill>
                        <pic:spPr>
                          <a:xfrm>
                            <a:off x="0" y="0"/>
                            <a:ext cx="990600" cy="79184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规格：2600x600x860(以平面图尺寸为主）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1. 基材：》15mm厚多层板，               </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2.面材：厚度》0.6mm实木木皮贴面。台面采用白色石英石。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3.胶水：采用环保型家具专用胶水，              4.油漆：（易涂宝牌、大宝牌、华润牌）环保型聚脂漆表面油漆.                                                                  5、五金：( BMB、索驰、海蒂诗)五金配件，阻尼门铰链和阻尼三节静音导轨等系列五金件, 包括压克力板边条及标价牌</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00"/>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14</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4"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垫仓板</w:t>
            </w:r>
          </w:p>
        </w:tc>
        <w:tc>
          <w:tcPr>
            <w:tcW w:w="1896"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bdr w:val="single" w:color="000000" w:sz="4" w:space="0"/>
                <w:shd w:val="clear" w:color="auto" w:fill="FFFFFF"/>
                <w14:textFill>
                  <w14:solidFill>
                    <w14:schemeClr w14:val="tx1"/>
                  </w14:solidFill>
                </w14:textFill>
              </w:rPr>
              <w:drawing>
                <wp:anchor distT="0" distB="0" distL="114300" distR="114300" simplePos="0" relativeHeight="251645952" behindDoc="0" locked="0" layoutInCell="1" allowOverlap="1">
                  <wp:simplePos x="0" y="0"/>
                  <wp:positionH relativeFrom="column">
                    <wp:posOffset>74930</wp:posOffset>
                  </wp:positionH>
                  <wp:positionV relativeFrom="paragraph">
                    <wp:posOffset>93980</wp:posOffset>
                  </wp:positionV>
                  <wp:extent cx="1019175" cy="561975"/>
                  <wp:effectExtent l="0" t="0" r="9525" b="9525"/>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67"/>
                          <a:stretch>
                            <a:fillRect/>
                          </a:stretch>
                        </pic:blipFill>
                        <pic:spPr>
                          <a:xfrm>
                            <a:off x="0" y="0"/>
                            <a:ext cx="1019175" cy="561975"/>
                          </a:xfrm>
                          <a:prstGeom prst="rect">
                            <a:avLst/>
                          </a:prstGeom>
                          <a:noFill/>
                          <a:ln>
                            <a:noFill/>
                          </a:ln>
                        </pic:spPr>
                      </pic:pic>
                    </a:graphicData>
                  </a:graphic>
                </wp:anchor>
              </w:drawing>
            </w:r>
          </w:p>
        </w:tc>
        <w:tc>
          <w:tcPr>
            <w:tcW w:w="3563"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规格：1100*1100*155,</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 xml:space="preserve">承重1.8吨                                                    </w:t>
            </w: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个</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550</w:t>
            </w:r>
          </w:p>
        </w:tc>
        <w:tc>
          <w:tcPr>
            <w:tcW w:w="834"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973"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10160" w:type="dxa"/>
            <w:gridSpan w:val="8"/>
            <w:shd w:val="clear" w:color="auto" w:fill="FFFFFF"/>
            <w:noWrap/>
            <w:tcMar>
              <w:top w:w="15" w:type="dxa"/>
              <w:left w:w="15" w:type="dxa"/>
              <w:right w:w="15" w:type="dxa"/>
            </w:tcMar>
            <w:vAlign w:val="center"/>
          </w:tcPr>
          <w:p>
            <w:pPr>
              <w:widowControl/>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（四</w:t>
            </w:r>
            <w:r>
              <w:rPr>
                <w:rFonts w:ascii="宋体" w:hAnsi="宋体" w:cs="宋体"/>
                <w:color w:val="000000" w:themeColor="text1"/>
                <w:kern w:val="0"/>
                <w:highlight w:val="none"/>
                <w:lang w:bidi="ar"/>
                <w14:textFill>
                  <w14:solidFill>
                    <w14:schemeClr w14:val="tx1"/>
                  </w14:solidFill>
                </w14:textFill>
              </w:rPr>
              <w:t>）</w:t>
            </w:r>
            <w:r>
              <w:rPr>
                <w:rFonts w:hint="eastAsia" w:ascii="宋体" w:hAnsi="宋体" w:cs="宋体"/>
                <w:color w:val="000000" w:themeColor="text1"/>
                <w:kern w:val="0"/>
                <w:highlight w:val="none"/>
                <w:lang w:bidi="ar"/>
                <w14:textFill>
                  <w14:solidFill>
                    <w14:schemeClr w14:val="tx1"/>
                  </w14:solidFill>
                </w14:textFill>
              </w:rPr>
              <w:t>、预留金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468"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5</w:t>
            </w:r>
          </w:p>
        </w:tc>
        <w:tc>
          <w:tcPr>
            <w:tcW w:w="106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预留金</w:t>
            </w:r>
          </w:p>
        </w:tc>
        <w:tc>
          <w:tcPr>
            <w:tcW w:w="1896" w:type="dxa"/>
            <w:shd w:val="clear" w:color="auto" w:fill="FFFFFF"/>
            <w:noWrap/>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p>
        </w:tc>
        <w:tc>
          <w:tcPr>
            <w:tcW w:w="3563" w:type="dxa"/>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594"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77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834"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50000.00 </w:t>
            </w:r>
          </w:p>
        </w:tc>
        <w:tc>
          <w:tcPr>
            <w:tcW w:w="973"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7582" w:type="dxa"/>
            <w:gridSpan w:val="5"/>
            <w:shd w:val="clear" w:color="auto" w:fill="auto"/>
            <w:noWrap/>
            <w:tcMar>
              <w:top w:w="15" w:type="dxa"/>
              <w:left w:w="15" w:type="dxa"/>
              <w:right w:w="15" w:type="dxa"/>
            </w:tcMar>
            <w:vAlign w:val="center"/>
          </w:tcPr>
          <w:p>
            <w:pPr>
              <w:widowControl/>
              <w:jc w:val="center"/>
              <w:textAlignment w:val="cente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kern w:val="0"/>
                <w:highlight w:val="none"/>
                <w:lang w:bidi="ar"/>
                <w14:textFill>
                  <w14:solidFill>
                    <w14:schemeClr w14:val="tx1"/>
                  </w14:solidFill>
                </w14:textFill>
              </w:rPr>
              <w:t>总计（</w:t>
            </w:r>
            <w:r>
              <w:rPr>
                <w:rFonts w:hint="eastAsia" w:ascii="宋体" w:hAnsi="宋体" w:cs="宋体"/>
                <w:b/>
                <w:color w:val="000000" w:themeColor="text1"/>
                <w:kern w:val="0"/>
                <w:highlight w:val="none"/>
                <w:lang w:val="en-US" w:eastAsia="zh-CN" w:bidi="ar"/>
                <w14:textFill>
                  <w14:solidFill>
                    <w14:schemeClr w14:val="tx1"/>
                  </w14:solidFill>
                </w14:textFill>
              </w:rPr>
              <w:t>一</w:t>
            </w:r>
            <w:r>
              <w:rPr>
                <w:rFonts w:hint="eastAsia" w:ascii="宋体" w:hAnsi="宋体" w:cs="宋体"/>
                <w:b/>
                <w:color w:val="000000" w:themeColor="text1"/>
                <w:kern w:val="0"/>
                <w:highlight w:val="none"/>
                <w:lang w:bidi="ar"/>
                <w14:textFill>
                  <w14:solidFill>
                    <w14:schemeClr w14:val="tx1"/>
                  </w14:solidFill>
                </w14:textFill>
              </w:rPr>
              <w:t>+</w:t>
            </w:r>
            <w:r>
              <w:rPr>
                <w:rFonts w:hint="eastAsia" w:ascii="宋体" w:hAnsi="宋体" w:cs="宋体"/>
                <w:b/>
                <w:color w:val="000000" w:themeColor="text1"/>
                <w:kern w:val="0"/>
                <w:highlight w:val="none"/>
                <w:lang w:val="en-US" w:eastAsia="zh-CN" w:bidi="ar"/>
                <w14:textFill>
                  <w14:solidFill>
                    <w14:schemeClr w14:val="tx1"/>
                  </w14:solidFill>
                </w14:textFill>
              </w:rPr>
              <w:t>二</w:t>
            </w:r>
            <w:r>
              <w:rPr>
                <w:rFonts w:hint="eastAsia" w:ascii="宋体" w:hAnsi="宋体" w:cs="宋体"/>
                <w:b/>
                <w:color w:val="000000" w:themeColor="text1"/>
                <w:kern w:val="0"/>
                <w:highlight w:val="none"/>
                <w:lang w:bidi="ar"/>
                <w14:textFill>
                  <w14:solidFill>
                    <w14:schemeClr w14:val="tx1"/>
                  </w14:solidFill>
                </w14:textFill>
              </w:rPr>
              <w:t>+</w:t>
            </w:r>
            <w:r>
              <w:rPr>
                <w:rFonts w:hint="eastAsia" w:ascii="宋体" w:hAnsi="宋体" w:cs="宋体"/>
                <w:b/>
                <w:color w:val="000000" w:themeColor="text1"/>
                <w:kern w:val="0"/>
                <w:highlight w:val="none"/>
                <w:lang w:val="en-US" w:eastAsia="zh-CN" w:bidi="ar"/>
                <w14:textFill>
                  <w14:solidFill>
                    <w14:schemeClr w14:val="tx1"/>
                  </w14:solidFill>
                </w14:textFill>
              </w:rPr>
              <w:t>三</w:t>
            </w:r>
            <w:r>
              <w:rPr>
                <w:rFonts w:hint="eastAsia" w:ascii="宋体" w:hAnsi="宋体" w:cs="宋体"/>
                <w:b/>
                <w:color w:val="000000" w:themeColor="text1"/>
                <w:kern w:val="0"/>
                <w:highlight w:val="none"/>
                <w:lang w:bidi="ar"/>
                <w14:textFill>
                  <w14:solidFill>
                    <w14:schemeClr w14:val="tx1"/>
                  </w14:solidFill>
                </w14:textFill>
              </w:rPr>
              <w:t>+</w:t>
            </w:r>
            <w:r>
              <w:rPr>
                <w:rFonts w:hint="eastAsia" w:ascii="宋体" w:hAnsi="宋体" w:cs="宋体"/>
                <w:b/>
                <w:color w:val="000000" w:themeColor="text1"/>
                <w:kern w:val="0"/>
                <w:highlight w:val="none"/>
                <w:lang w:val="en-US" w:eastAsia="zh-CN" w:bidi="ar"/>
                <w14:textFill>
                  <w14:solidFill>
                    <w14:schemeClr w14:val="tx1"/>
                  </w14:solidFill>
                </w14:textFill>
              </w:rPr>
              <w:t>四</w:t>
            </w:r>
            <w:bookmarkStart w:id="72" w:name="_GoBack"/>
            <w:bookmarkEnd w:id="72"/>
            <w:r>
              <w:rPr>
                <w:rFonts w:hint="eastAsia" w:ascii="宋体" w:hAnsi="宋体" w:cs="宋体"/>
                <w:b/>
                <w:color w:val="000000" w:themeColor="text1"/>
                <w:kern w:val="0"/>
                <w:highlight w:val="none"/>
                <w:lang w:bidi="ar"/>
                <w14:textFill>
                  <w14:solidFill>
                    <w14:schemeClr w14:val="tx1"/>
                  </w14:solidFill>
                </w14:textFill>
              </w:rPr>
              <w:t>）</w:t>
            </w:r>
          </w:p>
        </w:tc>
        <w:tc>
          <w:tcPr>
            <w:tcW w:w="2578" w:type="dxa"/>
            <w:gridSpan w:val="3"/>
            <w:shd w:val="clear" w:color="auto" w:fill="auto"/>
            <w:tcMar>
              <w:top w:w="15" w:type="dxa"/>
              <w:left w:w="15" w:type="dxa"/>
              <w:right w:w="15" w:type="dxa"/>
            </w:tcMar>
            <w:vAlign w:val="center"/>
          </w:tcPr>
          <w:p>
            <w:pPr>
              <w:jc w:val="center"/>
              <w:rPr>
                <w:rFonts w:ascii="宋体" w:hAnsi="宋体" w:cs="宋体"/>
                <w:b/>
                <w:color w:val="000000" w:themeColor="text1"/>
                <w:sz w:val="20"/>
                <w:szCs w:val="20"/>
                <w:highlight w:val="none"/>
                <w14:textFill>
                  <w14:solidFill>
                    <w14:schemeClr w14:val="tx1"/>
                  </w14:solidFill>
                </w14:textFill>
              </w:rPr>
            </w:pPr>
          </w:p>
        </w:tc>
      </w:tr>
    </w:tbl>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2"/>
        <w:ind w:left="480" w:firstLine="480"/>
        <w:rPr>
          <w:color w:val="000000" w:themeColor="text1"/>
          <w:highlight w:val="none"/>
          <w14:textFill>
            <w14:solidFill>
              <w14:schemeClr w14:val="tx1"/>
            </w14:solidFill>
          </w14:textFill>
        </w:rPr>
      </w:pPr>
    </w:p>
    <w:tbl>
      <w:tblPr>
        <w:tblStyle w:val="19"/>
        <w:tblW w:w="10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0"/>
        <w:gridCol w:w="960"/>
        <w:gridCol w:w="1560"/>
        <w:gridCol w:w="1570"/>
        <w:gridCol w:w="2115"/>
        <w:gridCol w:w="615"/>
        <w:gridCol w:w="720"/>
        <w:gridCol w:w="114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10275" w:type="dxa"/>
            <w:gridSpan w:val="9"/>
            <w:shd w:val="clear" w:color="auto" w:fill="auto"/>
            <w:noWrap/>
            <w:tcMar>
              <w:top w:w="15" w:type="dxa"/>
              <w:left w:w="15" w:type="dxa"/>
              <w:right w:w="15" w:type="dxa"/>
            </w:tcMar>
            <w:vAlign w:val="center"/>
          </w:tcPr>
          <w:p>
            <w:pPr>
              <w:widowControl/>
              <w:jc w:val="center"/>
              <w:textAlignment w:val="center"/>
              <w:rPr>
                <w:rFonts w:hint="eastAsia" w:ascii="宋体" w:hAnsi="宋体" w:cs="宋体"/>
                <w:color w:val="000000" w:themeColor="text1"/>
                <w:sz w:val="40"/>
                <w:szCs w:val="40"/>
                <w:highlight w:val="none"/>
                <w14:textFill>
                  <w14:solidFill>
                    <w14:schemeClr w14:val="tx1"/>
                  </w14:solidFill>
                </w14:textFill>
              </w:rPr>
            </w:pPr>
            <w:r>
              <w:rPr>
                <w:rFonts w:hint="eastAsia" w:ascii="宋体" w:hAnsi="宋体" w:cs="宋体"/>
                <w:color w:val="000000" w:themeColor="text1"/>
                <w:kern w:val="0"/>
                <w:sz w:val="40"/>
                <w:szCs w:val="40"/>
                <w:highlight w:val="none"/>
                <w:lang w:bidi="ar"/>
                <w14:textFill>
                  <w14:solidFill>
                    <w14:schemeClr w14:val="tx1"/>
                  </w14:solidFill>
                </w14:textFill>
              </w:rPr>
              <w:t>二、客房家具报价</w:t>
            </w:r>
            <w:r>
              <w:rPr>
                <w:rFonts w:ascii="宋体" w:hAnsi="宋体" w:cs="宋体"/>
                <w:color w:val="000000" w:themeColor="text1"/>
                <w:kern w:val="0"/>
                <w:sz w:val="40"/>
                <w:szCs w:val="40"/>
                <w:highlight w:val="none"/>
                <w:lang w:bidi="ar"/>
                <w14:textFill>
                  <w14:solidFill>
                    <w14:schemeClr w14:val="tx1"/>
                  </w14:solidFill>
                </w14:textFill>
              </w:rPr>
              <w:t>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47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序号</w:t>
            </w:r>
          </w:p>
        </w:tc>
        <w:tc>
          <w:tcPr>
            <w:tcW w:w="96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品名</w:t>
            </w:r>
          </w:p>
        </w:tc>
        <w:tc>
          <w:tcPr>
            <w:tcW w:w="156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样式图片</w:t>
            </w:r>
          </w:p>
        </w:tc>
        <w:tc>
          <w:tcPr>
            <w:tcW w:w="157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规格</w:t>
            </w:r>
          </w:p>
        </w:tc>
        <w:tc>
          <w:tcPr>
            <w:tcW w:w="2115"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材质参数</w:t>
            </w:r>
          </w:p>
        </w:tc>
        <w:tc>
          <w:tcPr>
            <w:tcW w:w="615"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单位</w:t>
            </w:r>
          </w:p>
        </w:tc>
        <w:tc>
          <w:tcPr>
            <w:tcW w:w="720" w:type="dxa"/>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数量</w:t>
            </w:r>
          </w:p>
        </w:tc>
        <w:tc>
          <w:tcPr>
            <w:tcW w:w="1140"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单价</w:t>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t>（元）</w:t>
            </w:r>
          </w:p>
        </w:tc>
        <w:tc>
          <w:tcPr>
            <w:tcW w:w="1125"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金额</w:t>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1</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平板床</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304800" cy="125095"/>
                  <wp:effectExtent l="0" t="0" r="0" b="8255"/>
                  <wp:wrapNone/>
                  <wp:docPr id="63" name="图片_20"/>
                  <wp:cNvGraphicFramePr/>
                  <a:graphic xmlns:a="http://schemas.openxmlformats.org/drawingml/2006/main">
                    <a:graphicData uri="http://schemas.openxmlformats.org/drawingml/2006/picture">
                      <pic:pic xmlns:pic="http://schemas.openxmlformats.org/drawingml/2006/picture">
                        <pic:nvPicPr>
                          <pic:cNvPr id="63" name="图片_20"/>
                          <pic:cNvPicPr/>
                        </pic:nvPicPr>
                        <pic:blipFill>
                          <a:blip r:embed="rId68"/>
                          <a:stretch>
                            <a:fillRect/>
                          </a:stretch>
                        </pic:blipFill>
                        <pic:spPr>
                          <a:xfrm>
                            <a:off x="0" y="0"/>
                            <a:ext cx="304800" cy="125095"/>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48000" behindDoc="0" locked="0" layoutInCell="1" allowOverlap="1">
                  <wp:simplePos x="0" y="0"/>
                  <wp:positionH relativeFrom="column">
                    <wp:posOffset>190500</wp:posOffset>
                  </wp:positionH>
                  <wp:positionV relativeFrom="paragraph">
                    <wp:posOffset>766445</wp:posOffset>
                  </wp:positionV>
                  <wp:extent cx="668020" cy="707390"/>
                  <wp:effectExtent l="0" t="0" r="17780" b="16510"/>
                  <wp:wrapNone/>
                  <wp:docPr id="65" name="图片_21"/>
                  <wp:cNvGraphicFramePr/>
                  <a:graphic xmlns:a="http://schemas.openxmlformats.org/drawingml/2006/main">
                    <a:graphicData uri="http://schemas.openxmlformats.org/drawingml/2006/picture">
                      <pic:pic xmlns:pic="http://schemas.openxmlformats.org/drawingml/2006/picture">
                        <pic:nvPicPr>
                          <pic:cNvPr id="65" name="图片_21"/>
                          <pic:cNvPicPr/>
                        </pic:nvPicPr>
                        <pic:blipFill>
                          <a:blip r:embed="rId69"/>
                          <a:stretch>
                            <a:fillRect/>
                          </a:stretch>
                        </pic:blipFill>
                        <pic:spPr>
                          <a:xfrm>
                            <a:off x="0" y="0"/>
                            <a:ext cx="668020" cy="70739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1800x2000x1280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6、软包：海绵PU 定型泡棉。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2</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平板床</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304800" cy="125095"/>
                  <wp:effectExtent l="0" t="0" r="0" b="8255"/>
                  <wp:wrapNone/>
                  <wp:docPr id="66" name="图片_1"/>
                  <wp:cNvGraphicFramePr/>
                  <a:graphic xmlns:a="http://schemas.openxmlformats.org/drawingml/2006/main">
                    <a:graphicData uri="http://schemas.openxmlformats.org/drawingml/2006/picture">
                      <pic:pic xmlns:pic="http://schemas.openxmlformats.org/drawingml/2006/picture">
                        <pic:nvPicPr>
                          <pic:cNvPr id="66" name="图片_1"/>
                          <pic:cNvPicPr/>
                        </pic:nvPicPr>
                        <pic:blipFill>
                          <a:blip r:embed="rId70"/>
                          <a:stretch>
                            <a:fillRect/>
                          </a:stretch>
                        </pic:blipFill>
                        <pic:spPr>
                          <a:xfrm>
                            <a:off x="0" y="0"/>
                            <a:ext cx="304800" cy="125095"/>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0048" behindDoc="0" locked="0" layoutInCell="1" allowOverlap="1">
                  <wp:simplePos x="0" y="0"/>
                  <wp:positionH relativeFrom="column">
                    <wp:posOffset>180975</wp:posOffset>
                  </wp:positionH>
                  <wp:positionV relativeFrom="paragraph">
                    <wp:posOffset>588645</wp:posOffset>
                  </wp:positionV>
                  <wp:extent cx="708660" cy="751205"/>
                  <wp:effectExtent l="0" t="0" r="15240" b="10795"/>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71"/>
                          <a:stretch>
                            <a:fillRect/>
                          </a:stretch>
                        </pic:blipFill>
                        <pic:spPr>
                          <a:xfrm>
                            <a:off x="0" y="0"/>
                            <a:ext cx="708660" cy="751205"/>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1500x2000x1280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62</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6、软包：海绵PU 定型泡棉。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3</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床头柜（标间1个，单间2个）</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1072" behindDoc="0" locked="0" layoutInCell="1" allowOverlap="1">
                  <wp:simplePos x="0" y="0"/>
                  <wp:positionH relativeFrom="column">
                    <wp:posOffset>37465</wp:posOffset>
                  </wp:positionH>
                  <wp:positionV relativeFrom="paragraph">
                    <wp:posOffset>370840</wp:posOffset>
                  </wp:positionV>
                  <wp:extent cx="857250" cy="830580"/>
                  <wp:effectExtent l="0" t="0" r="0" b="7620"/>
                  <wp:wrapNone/>
                  <wp:docPr id="62" name="图片_23"/>
                  <wp:cNvGraphicFramePr/>
                  <a:graphic xmlns:a="http://schemas.openxmlformats.org/drawingml/2006/main">
                    <a:graphicData uri="http://schemas.openxmlformats.org/drawingml/2006/picture">
                      <pic:pic xmlns:pic="http://schemas.openxmlformats.org/drawingml/2006/picture">
                        <pic:nvPicPr>
                          <pic:cNvPr id="62" name="图片_23"/>
                          <pic:cNvPicPr/>
                        </pic:nvPicPr>
                        <pic:blipFill>
                          <a:blip r:embed="rId72"/>
                          <a:stretch>
                            <a:fillRect/>
                          </a:stretch>
                        </pic:blipFill>
                        <pic:spPr>
                          <a:xfrm>
                            <a:off x="0" y="0"/>
                            <a:ext cx="857250" cy="83058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500x500x550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个</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39</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5</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电视组合柜（写字台+电视柜+行李柜+凳子）</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2096" behindDoc="0" locked="0" layoutInCell="1" allowOverlap="1">
                  <wp:simplePos x="0" y="0"/>
                  <wp:positionH relativeFrom="column">
                    <wp:posOffset>170815</wp:posOffset>
                  </wp:positionH>
                  <wp:positionV relativeFrom="paragraph">
                    <wp:posOffset>494665</wp:posOffset>
                  </wp:positionV>
                  <wp:extent cx="601980" cy="315595"/>
                  <wp:effectExtent l="0" t="0" r="7620" b="8255"/>
                  <wp:wrapNone/>
                  <wp:docPr id="64" name="图片_4"/>
                  <wp:cNvGraphicFramePr/>
                  <a:graphic xmlns:a="http://schemas.openxmlformats.org/drawingml/2006/main">
                    <a:graphicData uri="http://schemas.openxmlformats.org/drawingml/2006/picture">
                      <pic:pic xmlns:pic="http://schemas.openxmlformats.org/drawingml/2006/picture">
                        <pic:nvPicPr>
                          <pic:cNvPr id="64" name="图片_4"/>
                          <pic:cNvPicPr/>
                        </pic:nvPicPr>
                        <pic:blipFill>
                          <a:blip r:embed="rId73"/>
                          <a:stretch>
                            <a:fillRect/>
                          </a:stretch>
                        </pic:blipFill>
                        <pic:spPr>
                          <a:xfrm>
                            <a:off x="0" y="0"/>
                            <a:ext cx="601980" cy="315595"/>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2600*500*850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组</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35</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 （BMB、索驰、海蒂诗）五金配件，阻尼门铰链。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6、凳子软包：专用天然细棉麻阻燃布艺 定型泡棉。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6</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席梦思床垫</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3120" behindDoc="0" locked="0" layoutInCell="1" allowOverlap="1">
                  <wp:simplePos x="0" y="0"/>
                  <wp:positionH relativeFrom="column">
                    <wp:posOffset>76835</wp:posOffset>
                  </wp:positionH>
                  <wp:positionV relativeFrom="paragraph">
                    <wp:posOffset>288925</wp:posOffset>
                  </wp:positionV>
                  <wp:extent cx="657860" cy="294005"/>
                  <wp:effectExtent l="0" t="0" r="8890" b="10795"/>
                  <wp:wrapNone/>
                  <wp:docPr id="59" name="图片_22"/>
                  <wp:cNvGraphicFramePr/>
                  <a:graphic xmlns:a="http://schemas.openxmlformats.org/drawingml/2006/main">
                    <a:graphicData uri="http://schemas.openxmlformats.org/drawingml/2006/picture">
                      <pic:pic xmlns:pic="http://schemas.openxmlformats.org/drawingml/2006/picture">
                        <pic:nvPicPr>
                          <pic:cNvPr id="59" name="图片_22"/>
                          <pic:cNvPicPr/>
                        </pic:nvPicPr>
                        <pic:blipFill>
                          <a:blip r:embed="rId74"/>
                          <a:stretch>
                            <a:fillRect/>
                          </a:stretch>
                        </pic:blipFill>
                        <pic:spPr>
                          <a:xfrm>
                            <a:off x="0" y="0"/>
                            <a:ext cx="657860" cy="294005"/>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1800x2000x200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1.独立弹簧：弹簧采用优质碳素钢制成;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2.环保热熔棉：采用棉纤维高温消毒压制而成</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3.家具专用天然细棉麻阻燃布艺</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7</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席梦思床垫</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4144" behindDoc="0" locked="0" layoutInCell="1" allowOverlap="1">
                  <wp:simplePos x="0" y="0"/>
                  <wp:positionH relativeFrom="column">
                    <wp:posOffset>191135</wp:posOffset>
                  </wp:positionH>
                  <wp:positionV relativeFrom="paragraph">
                    <wp:posOffset>381000</wp:posOffset>
                  </wp:positionV>
                  <wp:extent cx="647700" cy="289560"/>
                  <wp:effectExtent l="0" t="0" r="0" b="15240"/>
                  <wp:wrapNone/>
                  <wp:docPr id="61" name="图片_5"/>
                  <wp:cNvGraphicFramePr/>
                  <a:graphic xmlns:a="http://schemas.openxmlformats.org/drawingml/2006/main">
                    <a:graphicData uri="http://schemas.openxmlformats.org/drawingml/2006/picture">
                      <pic:pic xmlns:pic="http://schemas.openxmlformats.org/drawingml/2006/picture">
                        <pic:nvPicPr>
                          <pic:cNvPr id="61" name="图片_5"/>
                          <pic:cNvPicPr/>
                        </pic:nvPicPr>
                        <pic:blipFill>
                          <a:blip r:embed="rId75"/>
                          <a:stretch>
                            <a:fillRect/>
                          </a:stretch>
                        </pic:blipFill>
                        <pic:spPr>
                          <a:xfrm>
                            <a:off x="0" y="0"/>
                            <a:ext cx="647700" cy="28956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1500x2000x200  </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1.独立弹簧：弹簧采用优质碳素钢制成;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张</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62</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 环保热熔棉：采用棉纤维高温消毒压制而成</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3.家具专用天然细棉麻阻燃布艺</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8</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双开门衣柜</w:t>
            </w:r>
          </w:p>
        </w:tc>
        <w:tc>
          <w:tcPr>
            <w:tcW w:w="1560" w:type="dxa"/>
            <w:vMerge w:val="restart"/>
            <w:shd w:val="clear" w:color="auto" w:fill="auto"/>
            <w:tcMar>
              <w:top w:w="15" w:type="dxa"/>
              <w:left w:w="15" w:type="dxa"/>
              <w:right w:w="15" w:type="dxa"/>
            </w:tcMar>
            <w:vAlign w:val="center"/>
          </w:tcPr>
          <w:p>
            <w:pPr>
              <w:widowControl/>
              <w:jc w:val="both"/>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bdr w:val="single" w:color="000000" w:sz="4" w:space="0"/>
                <w14:textFill>
                  <w14:solidFill>
                    <w14:schemeClr w14:val="tx1"/>
                  </w14:solidFill>
                </w14:textFill>
              </w:rPr>
              <w:drawing>
                <wp:anchor distT="0" distB="0" distL="114300" distR="114300" simplePos="0" relativeHeight="251655168" behindDoc="0" locked="0" layoutInCell="1" allowOverlap="1">
                  <wp:simplePos x="0" y="0"/>
                  <wp:positionH relativeFrom="column">
                    <wp:posOffset>238125</wp:posOffset>
                  </wp:positionH>
                  <wp:positionV relativeFrom="paragraph">
                    <wp:posOffset>486410</wp:posOffset>
                  </wp:positionV>
                  <wp:extent cx="590550" cy="876300"/>
                  <wp:effectExtent l="0" t="0" r="0" b="0"/>
                  <wp:wrapNone/>
                  <wp:docPr id="60" name="图片_6"/>
                  <wp:cNvGraphicFramePr/>
                  <a:graphic xmlns:a="http://schemas.openxmlformats.org/drawingml/2006/main">
                    <a:graphicData uri="http://schemas.openxmlformats.org/drawingml/2006/picture">
                      <pic:pic xmlns:pic="http://schemas.openxmlformats.org/drawingml/2006/picture">
                        <pic:nvPicPr>
                          <pic:cNvPr id="60" name="图片_6"/>
                          <pic:cNvPicPr/>
                        </pic:nvPicPr>
                        <pic:blipFill>
                          <a:blip r:embed="rId76"/>
                          <a:stretch>
                            <a:fillRect/>
                          </a:stretch>
                        </pic:blipFill>
                        <pic:spPr>
                          <a:xfrm>
                            <a:off x="0" y="0"/>
                            <a:ext cx="590550" cy="876300"/>
                          </a:xfrm>
                          <a:prstGeom prst="rect">
                            <a:avLst/>
                          </a:prstGeom>
                          <a:noFill/>
                          <a:ln>
                            <a:noFill/>
                          </a:ln>
                        </pic:spPr>
                      </pic:pic>
                    </a:graphicData>
                  </a:graphic>
                </wp:anchor>
              </w:drawing>
            </w:r>
            <w:r>
              <w:rPr>
                <w:rFonts w:hint="eastAsia" w:ascii="仿宋" w:hAnsi="仿宋" w:eastAsia="仿宋" w:cs="仿宋"/>
                <w:color w:val="000000" w:themeColor="text1"/>
                <w:kern w:val="0"/>
                <w:sz w:val="21"/>
                <w:szCs w:val="21"/>
                <w:highlight w:val="none"/>
                <w:lang w:bidi="ar"/>
                <w14:textFill>
                  <w14:solidFill>
                    <w14:schemeClr w14:val="tx1"/>
                  </w14:solidFill>
                </w14:textFill>
              </w:rPr>
              <w:t xml:space="preserve">    </w:t>
            </w:r>
          </w:p>
        </w:tc>
        <w:tc>
          <w:tcPr>
            <w:tcW w:w="15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bidi="ar"/>
                <w14:textFill>
                  <w14:solidFill>
                    <w14:schemeClr w14:val="tx1"/>
                  </w14:solidFill>
                </w14:textFill>
              </w:rPr>
              <w:t>800*2000*600</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1.基材：：》E0 级高密度板。            </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组</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35</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2.面材：采用》0.6mm厚AAA级木皮，实木封边;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3.油漆：采用（易涂宝牌、大宝牌、华润牌）环保型聚脂漆表面油漆.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4、框架：实木框架。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tcMar>
              <w:top w:w="15" w:type="dxa"/>
              <w:left w:w="15" w:type="dxa"/>
              <w:right w:w="15" w:type="dxa"/>
            </w:tcMar>
            <w:vAlign w:val="center"/>
          </w:tcPr>
          <w:p>
            <w:pPr>
              <w:jc w:val="both"/>
              <w:rPr>
                <w:rFonts w:ascii="仿宋" w:hAnsi="仿宋" w:eastAsia="仿宋" w:cs="仿宋"/>
                <w:color w:val="000000" w:themeColor="text1"/>
                <w:sz w:val="21"/>
                <w:szCs w:val="21"/>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21"/>
                <w:szCs w:val="21"/>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5、五金：采用（BMB、索驰、海蒂诗）五金配件，阻尼门铰链。</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restart"/>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9</w:t>
            </w:r>
          </w:p>
        </w:tc>
        <w:tc>
          <w:tcPr>
            <w:tcW w:w="96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单间会客桌椅组合（一桌两椅）</w:t>
            </w:r>
          </w:p>
        </w:tc>
        <w:tc>
          <w:tcPr>
            <w:tcW w:w="1560" w:type="dxa"/>
            <w:vMerge w:val="restart"/>
            <w:shd w:val="clear" w:color="auto" w:fill="auto"/>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6368" behindDoc="0" locked="0" layoutInCell="1" allowOverlap="1">
                  <wp:simplePos x="0" y="0"/>
                  <wp:positionH relativeFrom="column">
                    <wp:posOffset>101600</wp:posOffset>
                  </wp:positionH>
                  <wp:positionV relativeFrom="paragraph">
                    <wp:posOffset>80010</wp:posOffset>
                  </wp:positionV>
                  <wp:extent cx="814705" cy="584200"/>
                  <wp:effectExtent l="0" t="0" r="4445" b="6350"/>
                  <wp:wrapNone/>
                  <wp:docPr id="92" name="图片_37"/>
                  <wp:cNvGraphicFramePr/>
                  <a:graphic xmlns:a="http://schemas.openxmlformats.org/drawingml/2006/main">
                    <a:graphicData uri="http://schemas.openxmlformats.org/drawingml/2006/picture">
                      <pic:pic xmlns:pic="http://schemas.openxmlformats.org/drawingml/2006/picture">
                        <pic:nvPicPr>
                          <pic:cNvPr id="92" name="图片_37"/>
                          <pic:cNvPicPr/>
                        </pic:nvPicPr>
                        <pic:blipFill>
                          <a:blip r:embed="rId77"/>
                          <a:stretch>
                            <a:fillRect/>
                          </a:stretch>
                        </pic:blipFill>
                        <pic:spPr>
                          <a:xfrm>
                            <a:off x="0" y="0"/>
                            <a:ext cx="814705" cy="58420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9525" cy="10160"/>
                  <wp:effectExtent l="0" t="0" r="0" b="0"/>
                  <wp:wrapNone/>
                  <wp:docPr id="68" name="图片_8"/>
                  <wp:cNvGraphicFramePr/>
                  <a:graphic xmlns:a="http://schemas.openxmlformats.org/drawingml/2006/main">
                    <a:graphicData uri="http://schemas.openxmlformats.org/drawingml/2006/picture">
                      <pic:pic xmlns:pic="http://schemas.openxmlformats.org/drawingml/2006/picture">
                        <pic:nvPicPr>
                          <pic:cNvPr id="68" name="图片_8"/>
                          <pic:cNvPicPr/>
                        </pic:nvPicPr>
                        <pic:blipFill>
                          <a:blip r:embed="rId78"/>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 cy="10160"/>
                  <wp:effectExtent l="0" t="0" r="0" b="0"/>
                  <wp:wrapNone/>
                  <wp:docPr id="69" name="图片_16"/>
                  <wp:cNvGraphicFramePr/>
                  <a:graphic xmlns:a="http://schemas.openxmlformats.org/drawingml/2006/main">
                    <a:graphicData uri="http://schemas.openxmlformats.org/drawingml/2006/picture">
                      <pic:pic xmlns:pic="http://schemas.openxmlformats.org/drawingml/2006/picture">
                        <pic:nvPicPr>
                          <pic:cNvPr id="69" name="图片_16"/>
                          <pic:cNvPicPr/>
                        </pic:nvPicPr>
                        <pic:blipFill>
                          <a:blip r:embed="rId79"/>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525" cy="10160"/>
                  <wp:effectExtent l="0" t="0" r="0" b="0"/>
                  <wp:wrapNone/>
                  <wp:docPr id="70" name="图片_32"/>
                  <wp:cNvGraphicFramePr/>
                  <a:graphic xmlns:a="http://schemas.openxmlformats.org/drawingml/2006/main">
                    <a:graphicData uri="http://schemas.openxmlformats.org/drawingml/2006/picture">
                      <pic:pic xmlns:pic="http://schemas.openxmlformats.org/drawingml/2006/picture">
                        <pic:nvPicPr>
                          <pic:cNvPr id="70" name="图片_32"/>
                          <pic:cNvPicPr/>
                        </pic:nvPicPr>
                        <pic:blipFill>
                          <a:blip r:embed="rId80"/>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525" cy="10160"/>
                  <wp:effectExtent l="0" t="0" r="0" b="0"/>
                  <wp:wrapNone/>
                  <wp:docPr id="71" name="图片_28"/>
                  <wp:cNvGraphicFramePr/>
                  <a:graphic xmlns:a="http://schemas.openxmlformats.org/drawingml/2006/main">
                    <a:graphicData uri="http://schemas.openxmlformats.org/drawingml/2006/picture">
                      <pic:pic xmlns:pic="http://schemas.openxmlformats.org/drawingml/2006/picture">
                        <pic:nvPicPr>
                          <pic:cNvPr id="71" name="图片_28"/>
                          <pic:cNvPicPr/>
                        </pic:nvPicPr>
                        <pic:blipFill>
                          <a:blip r:embed="rId81"/>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9525" cy="10160"/>
                  <wp:effectExtent l="0" t="0" r="0" b="0"/>
                  <wp:wrapNone/>
                  <wp:docPr id="72" name="图片_27"/>
                  <wp:cNvGraphicFramePr/>
                  <a:graphic xmlns:a="http://schemas.openxmlformats.org/drawingml/2006/main">
                    <a:graphicData uri="http://schemas.openxmlformats.org/drawingml/2006/picture">
                      <pic:pic xmlns:pic="http://schemas.openxmlformats.org/drawingml/2006/picture">
                        <pic:nvPicPr>
                          <pic:cNvPr id="72" name="图片_27"/>
                          <pic:cNvPicPr/>
                        </pic:nvPicPr>
                        <pic:blipFill>
                          <a:blip r:embed="rId82"/>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9525" cy="10160"/>
                  <wp:effectExtent l="0" t="0" r="0" b="0"/>
                  <wp:wrapNone/>
                  <wp:docPr id="73" name="图片_26"/>
                  <wp:cNvGraphicFramePr/>
                  <a:graphic xmlns:a="http://schemas.openxmlformats.org/drawingml/2006/main">
                    <a:graphicData uri="http://schemas.openxmlformats.org/drawingml/2006/picture">
                      <pic:pic xmlns:pic="http://schemas.openxmlformats.org/drawingml/2006/picture">
                        <pic:nvPicPr>
                          <pic:cNvPr id="73" name="图片_26"/>
                          <pic:cNvPicPr/>
                        </pic:nvPicPr>
                        <pic:blipFill>
                          <a:blip r:embed="rId83"/>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9525" cy="10160"/>
                  <wp:effectExtent l="0" t="0" r="0" b="0"/>
                  <wp:wrapNone/>
                  <wp:docPr id="74" name="图片_29"/>
                  <wp:cNvGraphicFramePr/>
                  <a:graphic xmlns:a="http://schemas.openxmlformats.org/drawingml/2006/main">
                    <a:graphicData uri="http://schemas.openxmlformats.org/drawingml/2006/picture">
                      <pic:pic xmlns:pic="http://schemas.openxmlformats.org/drawingml/2006/picture">
                        <pic:nvPicPr>
                          <pic:cNvPr id="74" name="图片_29"/>
                          <pic:cNvPicPr/>
                        </pic:nvPicPr>
                        <pic:blipFill>
                          <a:blip r:embed="rId84"/>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9525" cy="10160"/>
                  <wp:effectExtent l="0" t="0" r="0" b="0"/>
                  <wp:wrapNone/>
                  <wp:docPr id="75" name="图片_24"/>
                  <wp:cNvGraphicFramePr/>
                  <a:graphic xmlns:a="http://schemas.openxmlformats.org/drawingml/2006/main">
                    <a:graphicData uri="http://schemas.openxmlformats.org/drawingml/2006/picture">
                      <pic:pic xmlns:pic="http://schemas.openxmlformats.org/drawingml/2006/picture">
                        <pic:nvPicPr>
                          <pic:cNvPr id="75" name="图片_24"/>
                          <pic:cNvPicPr/>
                        </pic:nvPicPr>
                        <pic:blipFill>
                          <a:blip r:embed="rId85"/>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9525" cy="10160"/>
                  <wp:effectExtent l="0" t="0" r="0" b="0"/>
                  <wp:wrapNone/>
                  <wp:docPr id="76" name="图片_33"/>
                  <wp:cNvGraphicFramePr/>
                  <a:graphic xmlns:a="http://schemas.openxmlformats.org/drawingml/2006/main">
                    <a:graphicData uri="http://schemas.openxmlformats.org/drawingml/2006/picture">
                      <pic:pic xmlns:pic="http://schemas.openxmlformats.org/drawingml/2006/picture">
                        <pic:nvPicPr>
                          <pic:cNvPr id="76" name="图片_33"/>
                          <pic:cNvPicPr/>
                        </pic:nvPicPr>
                        <pic:blipFill>
                          <a:blip r:embed="rId86"/>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9525" cy="10160"/>
                  <wp:effectExtent l="0" t="0" r="0" b="0"/>
                  <wp:wrapNone/>
                  <wp:docPr id="77" name="图片_11"/>
                  <wp:cNvGraphicFramePr/>
                  <a:graphic xmlns:a="http://schemas.openxmlformats.org/drawingml/2006/main">
                    <a:graphicData uri="http://schemas.openxmlformats.org/drawingml/2006/picture">
                      <pic:pic xmlns:pic="http://schemas.openxmlformats.org/drawingml/2006/picture">
                        <pic:nvPicPr>
                          <pic:cNvPr id="77" name="图片_11"/>
                          <pic:cNvPicPr/>
                        </pic:nvPicPr>
                        <pic:blipFill>
                          <a:blip r:embed="rId87"/>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9525" cy="10160"/>
                  <wp:effectExtent l="0" t="0" r="0" b="0"/>
                  <wp:wrapNone/>
                  <wp:docPr id="78" name="图片_15"/>
                  <wp:cNvGraphicFramePr/>
                  <a:graphic xmlns:a="http://schemas.openxmlformats.org/drawingml/2006/main">
                    <a:graphicData uri="http://schemas.openxmlformats.org/drawingml/2006/picture">
                      <pic:pic xmlns:pic="http://schemas.openxmlformats.org/drawingml/2006/picture">
                        <pic:nvPicPr>
                          <pic:cNvPr id="78" name="图片_15"/>
                          <pic:cNvPicPr/>
                        </pic:nvPicPr>
                        <pic:blipFill>
                          <a:blip r:embed="rId88"/>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9525" cy="10160"/>
                  <wp:effectExtent l="0" t="0" r="0" b="0"/>
                  <wp:wrapNone/>
                  <wp:docPr id="79" name="图片_31"/>
                  <wp:cNvGraphicFramePr/>
                  <a:graphic xmlns:a="http://schemas.openxmlformats.org/drawingml/2006/main">
                    <a:graphicData uri="http://schemas.openxmlformats.org/drawingml/2006/picture">
                      <pic:pic xmlns:pic="http://schemas.openxmlformats.org/drawingml/2006/picture">
                        <pic:nvPicPr>
                          <pic:cNvPr id="79" name="图片_31"/>
                          <pic:cNvPicPr/>
                        </pic:nvPicPr>
                        <pic:blipFill>
                          <a:blip r:embed="rId89"/>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525" cy="10160"/>
                  <wp:effectExtent l="0" t="0" r="0" b="0"/>
                  <wp:wrapNone/>
                  <wp:docPr id="80" name="图片_18"/>
                  <wp:cNvGraphicFramePr/>
                  <a:graphic xmlns:a="http://schemas.openxmlformats.org/drawingml/2006/main">
                    <a:graphicData uri="http://schemas.openxmlformats.org/drawingml/2006/picture">
                      <pic:pic xmlns:pic="http://schemas.openxmlformats.org/drawingml/2006/picture">
                        <pic:nvPicPr>
                          <pic:cNvPr id="80" name="图片_18"/>
                          <pic:cNvPicPr/>
                        </pic:nvPicPr>
                        <pic:blipFill>
                          <a:blip r:embed="rId90"/>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9525" cy="10160"/>
                  <wp:effectExtent l="0" t="0" r="0" b="0"/>
                  <wp:wrapNone/>
                  <wp:docPr id="81" name="图片_17"/>
                  <wp:cNvGraphicFramePr/>
                  <a:graphic xmlns:a="http://schemas.openxmlformats.org/drawingml/2006/main">
                    <a:graphicData uri="http://schemas.openxmlformats.org/drawingml/2006/picture">
                      <pic:pic xmlns:pic="http://schemas.openxmlformats.org/drawingml/2006/picture">
                        <pic:nvPicPr>
                          <pic:cNvPr id="81" name="图片_17"/>
                          <pic:cNvPicPr/>
                        </pic:nvPicPr>
                        <pic:blipFill>
                          <a:blip r:embed="rId91"/>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9525" cy="10160"/>
                  <wp:effectExtent l="0" t="0" r="0" b="0"/>
                  <wp:wrapNone/>
                  <wp:docPr id="82" name="图片_7"/>
                  <wp:cNvGraphicFramePr/>
                  <a:graphic xmlns:a="http://schemas.openxmlformats.org/drawingml/2006/main">
                    <a:graphicData uri="http://schemas.openxmlformats.org/drawingml/2006/picture">
                      <pic:pic xmlns:pic="http://schemas.openxmlformats.org/drawingml/2006/picture">
                        <pic:nvPicPr>
                          <pic:cNvPr id="82" name="图片_7"/>
                          <pic:cNvPicPr/>
                        </pic:nvPicPr>
                        <pic:blipFill>
                          <a:blip r:embed="rId92"/>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9525" cy="10160"/>
                  <wp:effectExtent l="0" t="0" r="0" b="0"/>
                  <wp:wrapNone/>
                  <wp:docPr id="83" name="图片_13"/>
                  <wp:cNvGraphicFramePr/>
                  <a:graphic xmlns:a="http://schemas.openxmlformats.org/drawingml/2006/main">
                    <a:graphicData uri="http://schemas.openxmlformats.org/drawingml/2006/picture">
                      <pic:pic xmlns:pic="http://schemas.openxmlformats.org/drawingml/2006/picture">
                        <pic:nvPicPr>
                          <pic:cNvPr id="83" name="图片_13"/>
                          <pic:cNvPicPr/>
                        </pic:nvPicPr>
                        <pic:blipFill>
                          <a:blip r:embed="rId93"/>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9525" cy="10160"/>
                  <wp:effectExtent l="0" t="0" r="0" b="0"/>
                  <wp:wrapNone/>
                  <wp:docPr id="84" name="图片_14"/>
                  <wp:cNvGraphicFramePr/>
                  <a:graphic xmlns:a="http://schemas.openxmlformats.org/drawingml/2006/main">
                    <a:graphicData uri="http://schemas.openxmlformats.org/drawingml/2006/picture">
                      <pic:pic xmlns:pic="http://schemas.openxmlformats.org/drawingml/2006/picture">
                        <pic:nvPicPr>
                          <pic:cNvPr id="84" name="图片_14"/>
                          <pic:cNvPicPr/>
                        </pic:nvPicPr>
                        <pic:blipFill>
                          <a:blip r:embed="rId94"/>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9525" cy="10160"/>
                  <wp:effectExtent l="0" t="0" r="0" b="0"/>
                  <wp:wrapNone/>
                  <wp:docPr id="85" name="图片_30"/>
                  <wp:cNvGraphicFramePr/>
                  <a:graphic xmlns:a="http://schemas.openxmlformats.org/drawingml/2006/main">
                    <a:graphicData uri="http://schemas.openxmlformats.org/drawingml/2006/picture">
                      <pic:pic xmlns:pic="http://schemas.openxmlformats.org/drawingml/2006/picture">
                        <pic:nvPicPr>
                          <pic:cNvPr id="85" name="图片_30"/>
                          <pic:cNvPicPr/>
                        </pic:nvPicPr>
                        <pic:blipFill>
                          <a:blip r:embed="rId95"/>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9525" cy="10160"/>
                  <wp:effectExtent l="0" t="0" r="0" b="0"/>
                  <wp:wrapNone/>
                  <wp:docPr id="86" name="图片_34"/>
                  <wp:cNvGraphicFramePr/>
                  <a:graphic xmlns:a="http://schemas.openxmlformats.org/drawingml/2006/main">
                    <a:graphicData uri="http://schemas.openxmlformats.org/drawingml/2006/picture">
                      <pic:pic xmlns:pic="http://schemas.openxmlformats.org/drawingml/2006/picture">
                        <pic:nvPicPr>
                          <pic:cNvPr id="86" name="图片_34"/>
                          <pic:cNvPicPr/>
                        </pic:nvPicPr>
                        <pic:blipFill>
                          <a:blip r:embed="rId96"/>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9525" cy="10160"/>
                  <wp:effectExtent l="0" t="0" r="0" b="0"/>
                  <wp:wrapNone/>
                  <wp:docPr id="87" name="图片_35"/>
                  <wp:cNvGraphicFramePr/>
                  <a:graphic xmlns:a="http://schemas.openxmlformats.org/drawingml/2006/main">
                    <a:graphicData uri="http://schemas.openxmlformats.org/drawingml/2006/picture">
                      <pic:pic xmlns:pic="http://schemas.openxmlformats.org/drawingml/2006/picture">
                        <pic:nvPicPr>
                          <pic:cNvPr id="87" name="图片_35"/>
                          <pic:cNvPicPr/>
                        </pic:nvPicPr>
                        <pic:blipFill>
                          <a:blip r:embed="rId97"/>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9525" cy="10160"/>
                  <wp:effectExtent l="0" t="0" r="0" b="0"/>
                  <wp:wrapNone/>
                  <wp:docPr id="88" name="图片_9"/>
                  <wp:cNvGraphicFramePr/>
                  <a:graphic xmlns:a="http://schemas.openxmlformats.org/drawingml/2006/main">
                    <a:graphicData uri="http://schemas.openxmlformats.org/drawingml/2006/picture">
                      <pic:pic xmlns:pic="http://schemas.openxmlformats.org/drawingml/2006/picture">
                        <pic:nvPicPr>
                          <pic:cNvPr id="88" name="图片_9"/>
                          <pic:cNvPicPr/>
                        </pic:nvPicPr>
                        <pic:blipFill>
                          <a:blip r:embed="rId98"/>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9525" cy="10160"/>
                  <wp:effectExtent l="0" t="0" r="0" b="0"/>
                  <wp:wrapNone/>
                  <wp:docPr id="89" name="图片_12"/>
                  <wp:cNvGraphicFramePr/>
                  <a:graphic xmlns:a="http://schemas.openxmlformats.org/drawingml/2006/main">
                    <a:graphicData uri="http://schemas.openxmlformats.org/drawingml/2006/picture">
                      <pic:pic xmlns:pic="http://schemas.openxmlformats.org/drawingml/2006/picture">
                        <pic:nvPicPr>
                          <pic:cNvPr id="89" name="图片_12"/>
                          <pic:cNvPicPr/>
                        </pic:nvPicPr>
                        <pic:blipFill>
                          <a:blip r:embed="rId99"/>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9525" cy="10160"/>
                  <wp:effectExtent l="0" t="0" r="0" b="0"/>
                  <wp:wrapNone/>
                  <wp:docPr id="90" name="图片_10"/>
                  <wp:cNvGraphicFramePr/>
                  <a:graphic xmlns:a="http://schemas.openxmlformats.org/drawingml/2006/main">
                    <a:graphicData uri="http://schemas.openxmlformats.org/drawingml/2006/picture">
                      <pic:pic xmlns:pic="http://schemas.openxmlformats.org/drawingml/2006/picture">
                        <pic:nvPicPr>
                          <pic:cNvPr id="90" name="图片_10"/>
                          <pic:cNvPicPr/>
                        </pic:nvPicPr>
                        <pic:blipFill>
                          <a:blip r:embed="rId100"/>
                          <a:stretch>
                            <a:fillRect/>
                          </a:stretch>
                        </pic:blipFill>
                        <pic:spPr>
                          <a:xfrm>
                            <a:off x="0" y="0"/>
                            <a:ext cx="9525" cy="1016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9525" cy="10160"/>
                  <wp:effectExtent l="0" t="0" r="0" b="0"/>
                  <wp:wrapNone/>
                  <wp:docPr id="91" name="图片_25"/>
                  <wp:cNvGraphicFramePr/>
                  <a:graphic xmlns:a="http://schemas.openxmlformats.org/drawingml/2006/main">
                    <a:graphicData uri="http://schemas.openxmlformats.org/drawingml/2006/picture">
                      <pic:pic xmlns:pic="http://schemas.openxmlformats.org/drawingml/2006/picture">
                        <pic:nvPicPr>
                          <pic:cNvPr id="91" name="图片_25"/>
                          <pic:cNvPicPr/>
                        </pic:nvPicPr>
                        <pic:blipFill>
                          <a:blip r:embed="rId101"/>
                          <a:stretch>
                            <a:fillRect/>
                          </a:stretch>
                        </pic:blipFill>
                        <pic:spPr>
                          <a:xfrm>
                            <a:off x="0" y="0"/>
                            <a:ext cx="9525" cy="10160"/>
                          </a:xfrm>
                          <a:prstGeom prst="rect">
                            <a:avLst/>
                          </a:prstGeom>
                          <a:noFill/>
                          <a:ln>
                            <a:noFill/>
                          </a:ln>
                        </pic:spPr>
                      </pic:pic>
                    </a:graphicData>
                  </a:graphic>
                </wp:anchor>
              </w:drawing>
            </w:r>
          </w:p>
        </w:tc>
        <w:tc>
          <w:tcPr>
            <w:tcW w:w="1570"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600*750</w:t>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br w:type="textWrapping"/>
            </w:r>
            <w:r>
              <w:rPr>
                <w:rFonts w:hint="eastAsia" w:ascii="宋体" w:hAnsi="宋体" w:cs="宋体"/>
                <w:color w:val="000000" w:themeColor="text1"/>
                <w:kern w:val="0"/>
                <w:sz w:val="22"/>
                <w:szCs w:val="22"/>
                <w:highlight w:val="none"/>
                <w:lang w:bidi="ar"/>
                <w14:textFill>
                  <w14:solidFill>
                    <w14:schemeClr w14:val="tx1"/>
                  </w14:solidFill>
                </w14:textFill>
              </w:rPr>
              <w:t>460*430*730（椅面高度430）</w:t>
            </w: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1.材质：实木</w:t>
            </w:r>
          </w:p>
        </w:tc>
        <w:tc>
          <w:tcPr>
            <w:tcW w:w="615" w:type="dxa"/>
            <w:vMerge w:val="restart"/>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组</w:t>
            </w:r>
          </w:p>
        </w:tc>
        <w:tc>
          <w:tcPr>
            <w:tcW w:w="720" w:type="dxa"/>
            <w:vMerge w:val="restart"/>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lang w:bidi="ar"/>
                <w14:textFill>
                  <w14:solidFill>
                    <w14:schemeClr w14:val="tx1"/>
                  </w14:solidFill>
                </w14:textFill>
              </w:rPr>
              <w:t>4</w:t>
            </w:r>
          </w:p>
        </w:tc>
        <w:tc>
          <w:tcPr>
            <w:tcW w:w="1140"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restart"/>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 xml:space="preserve">2.油漆：采用（易涂宝牌、大宝牌、华润牌）环保型聚脂漆表面油漆.                                                                           </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3.座椅面料：采用超纤皮，厚度在 1.2— 1.8mm 之间；摩擦牢度：干摩擦色牢度 ≥ 4 级；皮革涂层粘贴牢度 ≥2.5。  海棉：优质阻燃性高回弹 PU 定型泡棉，密度≥45KG/立方，回弹力≥47%，拉深强度不小于 85KPA。</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70" w:type="dxa"/>
            <w:vMerge w:val="continue"/>
            <w:shd w:val="clear" w:color="auto" w:fill="auto"/>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c>
          <w:tcPr>
            <w:tcW w:w="960"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560" w:type="dxa"/>
            <w:vMerge w:val="continue"/>
            <w:shd w:val="clear" w:color="auto" w:fill="auto"/>
            <w:noWrap/>
            <w:tcMar>
              <w:top w:w="15" w:type="dxa"/>
              <w:left w:w="15" w:type="dxa"/>
              <w:right w:w="15" w:type="dxa"/>
            </w:tcMar>
            <w:vAlign w:val="center"/>
          </w:tcPr>
          <w:p>
            <w:pPr>
              <w:rPr>
                <w:rFonts w:ascii="宋体" w:hAnsi="宋体" w:cs="宋体"/>
                <w:color w:val="000000" w:themeColor="text1"/>
                <w:sz w:val="22"/>
                <w:szCs w:val="22"/>
                <w:highlight w:val="none"/>
                <w14:textFill>
                  <w14:solidFill>
                    <w14:schemeClr w14:val="tx1"/>
                  </w14:solidFill>
                </w14:textFill>
              </w:rPr>
            </w:pPr>
          </w:p>
        </w:tc>
        <w:tc>
          <w:tcPr>
            <w:tcW w:w="1570" w:type="dxa"/>
            <w:vMerge w:val="continue"/>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115" w:type="dxa"/>
            <w:shd w:val="clear" w:color="auto" w:fill="auto"/>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4、五金：采用(BMB、索驰、海蒂诗)五金配件。</w:t>
            </w:r>
          </w:p>
        </w:tc>
        <w:tc>
          <w:tcPr>
            <w:tcW w:w="615" w:type="dxa"/>
            <w:vMerge w:val="continue"/>
            <w:shd w:val="clear" w:color="auto" w:fill="auto"/>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72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40"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c>
          <w:tcPr>
            <w:tcW w:w="1125" w:type="dxa"/>
            <w:vMerge w:val="continue"/>
            <w:shd w:val="clear" w:color="auto" w:fill="auto"/>
            <w:noWrap/>
            <w:tcMar>
              <w:top w:w="15" w:type="dxa"/>
              <w:left w:w="15" w:type="dxa"/>
              <w:right w:w="15" w:type="dxa"/>
            </w:tcMar>
            <w:vAlign w:val="center"/>
          </w:tcPr>
          <w:p>
            <w:pPr>
              <w:jc w:val="center"/>
              <w:rPr>
                <w:rFonts w:ascii="宋体" w:hAnsi="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0" w:hRule="atLeast"/>
        </w:trPr>
        <w:tc>
          <w:tcPr>
            <w:tcW w:w="470"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960" w:type="dxa"/>
            <w:shd w:val="clear" w:color="auto" w:fill="FFFFFF"/>
            <w:tcMar>
              <w:top w:w="15" w:type="dxa"/>
              <w:left w:w="15" w:type="dxa"/>
              <w:right w:w="15" w:type="dxa"/>
            </w:tcMar>
            <w:vAlign w:val="center"/>
          </w:tcPr>
          <w:p>
            <w:pPr>
              <w:widowControl/>
              <w:jc w:val="center"/>
              <w:textAlignment w:val="center"/>
              <w:rPr>
                <w:rFonts w:ascii="宋体" w:hAnsi="宋体" w:cs="宋体"/>
                <w:b/>
                <w:color w:val="000000" w:themeColor="text1"/>
                <w:sz w:val="22"/>
                <w:szCs w:val="22"/>
                <w:highlight w:val="none"/>
                <w14:textFill>
                  <w14:solidFill>
                    <w14:schemeClr w14:val="tx1"/>
                  </w14:solidFill>
                </w14:textFill>
              </w:rPr>
            </w:pPr>
            <w:r>
              <w:rPr>
                <w:rFonts w:hint="eastAsia" w:ascii="宋体" w:hAnsi="宋体" w:cs="宋体"/>
                <w:b/>
                <w:color w:val="000000" w:themeColor="text1"/>
                <w:kern w:val="0"/>
                <w:sz w:val="22"/>
                <w:szCs w:val="22"/>
                <w:highlight w:val="none"/>
                <w:lang w:bidi="ar"/>
                <w14:textFill>
                  <w14:solidFill>
                    <w14:schemeClr w14:val="tx1"/>
                  </w14:solidFill>
                </w14:textFill>
              </w:rPr>
              <w:t>预留金</w:t>
            </w:r>
          </w:p>
        </w:tc>
        <w:tc>
          <w:tcPr>
            <w:tcW w:w="1560" w:type="dxa"/>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1570" w:type="dxa"/>
            <w:shd w:val="clear" w:color="auto" w:fill="auto"/>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c>
          <w:tcPr>
            <w:tcW w:w="2115" w:type="dxa"/>
            <w:shd w:val="clear" w:color="auto" w:fill="auto"/>
            <w:noWrap/>
            <w:tcMar>
              <w:top w:w="15" w:type="dxa"/>
              <w:left w:w="15" w:type="dxa"/>
              <w:right w:w="15" w:type="dxa"/>
            </w:tcMar>
            <w:vAlign w:val="center"/>
          </w:tcPr>
          <w:p>
            <w:pPr>
              <w:rPr>
                <w:rFonts w:ascii="宋体" w:hAnsi="宋体" w:cs="宋体"/>
                <w:color w:val="000000" w:themeColor="text1"/>
                <w:sz w:val="20"/>
                <w:szCs w:val="20"/>
                <w:highlight w:val="none"/>
                <w14:textFill>
                  <w14:solidFill>
                    <w14:schemeClr w14:val="tx1"/>
                  </w14:solidFill>
                </w14:textFill>
              </w:rPr>
            </w:pPr>
          </w:p>
        </w:tc>
        <w:tc>
          <w:tcPr>
            <w:tcW w:w="615"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720"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1</w:t>
            </w:r>
          </w:p>
        </w:tc>
        <w:tc>
          <w:tcPr>
            <w:tcW w:w="1140"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c>
          <w:tcPr>
            <w:tcW w:w="1125"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7290" w:type="dxa"/>
            <w:gridSpan w:val="6"/>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总计（报价须包含预留金）</w:t>
            </w:r>
          </w:p>
        </w:tc>
        <w:tc>
          <w:tcPr>
            <w:tcW w:w="720"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140" w:type="dxa"/>
            <w:shd w:val="clear" w:color="auto" w:fill="FFFFFF"/>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c>
          <w:tcPr>
            <w:tcW w:w="1125" w:type="dxa"/>
            <w:shd w:val="clear" w:color="auto" w:fill="auto"/>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rPr>
          <w:rFonts w:ascii="宋体" w:hAnsi="宋体" w:cs="宋体"/>
          <w:b/>
          <w:bCs/>
          <w:color w:val="000000" w:themeColor="text1"/>
          <w:kern w:val="0"/>
          <w:sz w:val="32"/>
          <w:szCs w:val="32"/>
          <w:highlight w:val="none"/>
          <w14:textFill>
            <w14:solidFill>
              <w14:schemeClr w14:val="tx1"/>
            </w14:solidFill>
          </w14:textFill>
        </w:rPr>
      </w:pPr>
      <w:r>
        <w:rPr>
          <w:rFonts w:ascii="宋体" w:hAnsi="宋体" w:cs="宋体"/>
          <w:b/>
          <w:bCs/>
          <w:color w:val="000000" w:themeColor="text1"/>
          <w:kern w:val="0"/>
          <w:sz w:val="32"/>
          <w:szCs w:val="32"/>
          <w:highlight w:val="none"/>
          <w14:textFill>
            <w14:solidFill>
              <w14:schemeClr w14:val="tx1"/>
            </w14:solidFill>
          </w14:textFill>
        </w:rPr>
        <w:br w:type="page"/>
      </w:r>
    </w:p>
    <w:tbl>
      <w:tblPr>
        <w:tblStyle w:val="19"/>
        <w:tblW w:w="10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8"/>
        <w:gridCol w:w="971"/>
        <w:gridCol w:w="2821"/>
        <w:gridCol w:w="783"/>
        <w:gridCol w:w="661"/>
        <w:gridCol w:w="1053"/>
        <w:gridCol w:w="1052"/>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trPr>
        <w:tc>
          <w:tcPr>
            <w:tcW w:w="10000" w:type="dxa"/>
            <w:gridSpan w:val="8"/>
            <w:shd w:val="clear" w:color="auto" w:fill="FFFFFF"/>
            <w:noWrap/>
            <w:tcMar>
              <w:top w:w="15" w:type="dxa"/>
              <w:left w:w="15" w:type="dxa"/>
              <w:right w:w="15" w:type="dxa"/>
            </w:tcMar>
            <w:vAlign w:val="center"/>
          </w:tcPr>
          <w:p>
            <w:pPr>
              <w:widowControl/>
              <w:jc w:val="center"/>
              <w:textAlignment w:val="center"/>
              <w:rPr>
                <w:rFonts w:ascii="黑体" w:hAnsi="宋体" w:eastAsia="黑体" w:cs="黑体"/>
                <w:b/>
                <w:color w:val="000000" w:themeColor="text1"/>
                <w:sz w:val="32"/>
                <w:szCs w:val="32"/>
                <w:highlight w:val="none"/>
                <w14:textFill>
                  <w14:solidFill>
                    <w14:schemeClr w14:val="tx1"/>
                  </w14:solidFill>
                </w14:textFill>
              </w:rPr>
            </w:pPr>
            <w:r>
              <w:rPr>
                <w:rFonts w:hint="eastAsia" w:ascii="黑体" w:hAnsi="宋体" w:eastAsia="黑体" w:cs="黑体"/>
                <w:b/>
                <w:color w:val="000000" w:themeColor="text1"/>
                <w:kern w:val="0"/>
                <w:sz w:val="32"/>
                <w:szCs w:val="32"/>
                <w:highlight w:val="none"/>
                <w:lang w:bidi="ar"/>
                <w14:textFill>
                  <w14:solidFill>
                    <w14:schemeClr w14:val="tx1"/>
                  </w14:solidFill>
                </w14:textFill>
              </w:rPr>
              <w:t>三、青年之家家具报价清单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序号</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设备名称</w:t>
            </w:r>
          </w:p>
        </w:tc>
        <w:tc>
          <w:tcPr>
            <w:tcW w:w="282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项目特征</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单位</w:t>
            </w:r>
          </w:p>
        </w:tc>
        <w:tc>
          <w:tcPr>
            <w:tcW w:w="66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数量</w:t>
            </w:r>
          </w:p>
        </w:tc>
        <w:tc>
          <w:tcPr>
            <w:tcW w:w="105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单价（元）</w:t>
            </w:r>
          </w:p>
        </w:tc>
        <w:tc>
          <w:tcPr>
            <w:tcW w:w="1052"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合价（元）</w:t>
            </w:r>
          </w:p>
        </w:tc>
        <w:tc>
          <w:tcPr>
            <w:tcW w:w="201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9"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休闲单人桌</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规格：60*60*高75cm；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面材：实木松木或橡木多层板，清漆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造型：立体防撞圆角，防油渍，耐高温，防刮花；</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底座：银色不锈钢材质，钢管+底座；</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颜色：实木原色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18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07392" behindDoc="0" locked="0" layoutInCell="1" allowOverlap="1">
                  <wp:simplePos x="0" y="0"/>
                  <wp:positionH relativeFrom="column">
                    <wp:posOffset>180975</wp:posOffset>
                  </wp:positionH>
                  <wp:positionV relativeFrom="paragraph">
                    <wp:posOffset>361950</wp:posOffset>
                  </wp:positionV>
                  <wp:extent cx="971550" cy="734695"/>
                  <wp:effectExtent l="0" t="0" r="0" b="8255"/>
                  <wp:wrapNone/>
                  <wp:docPr id="95" name="图片_1"/>
                  <wp:cNvGraphicFramePr/>
                  <a:graphic xmlns:a="http://schemas.openxmlformats.org/drawingml/2006/main">
                    <a:graphicData uri="http://schemas.openxmlformats.org/drawingml/2006/picture">
                      <pic:pic xmlns:pic="http://schemas.openxmlformats.org/drawingml/2006/picture">
                        <pic:nvPicPr>
                          <pic:cNvPr id="95" name="图片_1"/>
                          <pic:cNvPicPr/>
                        </pic:nvPicPr>
                        <pic:blipFill>
                          <a:blip r:embed="rId102"/>
                          <a:stretch>
                            <a:fillRect/>
                          </a:stretch>
                        </pic:blipFill>
                        <pic:spPr>
                          <a:xfrm>
                            <a:off x="0" y="0"/>
                            <a:ext cx="971550" cy="734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2</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休闲双人桌</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规格：120*60*高75cm；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面材：实木松木或橡木多层板，清漆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造型：立体防撞圆角，防油渍，耐高温，防刮花；</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底座：三角不规则实木</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2</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tcMar>
              <w:top w:w="15" w:type="dxa"/>
              <w:left w:w="15" w:type="dxa"/>
              <w:right w:w="15" w:type="dxa"/>
            </w:tcMar>
            <w:vAlign w:val="center"/>
          </w:tcPr>
          <w:p>
            <w:pPr>
              <w:widowControl/>
              <w:textAlignment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kern w:val="0"/>
                <w:sz w:val="21"/>
                <w:szCs w:val="21"/>
                <w:highlight w:val="none"/>
                <w:bdr w:val="single" w:color="000000" w:sz="4" w:space="0"/>
                <w:shd w:val="clear" w:color="auto" w:fill="FFFFFF"/>
                <w14:textFill>
                  <w14:solidFill>
                    <w14:schemeClr w14:val="tx1"/>
                  </w14:solidFill>
                </w14:textFill>
              </w:rPr>
              <w:drawing>
                <wp:anchor distT="0" distB="0" distL="114300" distR="114300" simplePos="0" relativeHeight="251708416" behindDoc="0" locked="0" layoutInCell="1" allowOverlap="1">
                  <wp:simplePos x="0" y="0"/>
                  <wp:positionH relativeFrom="column">
                    <wp:posOffset>137795</wp:posOffset>
                  </wp:positionH>
                  <wp:positionV relativeFrom="paragraph">
                    <wp:posOffset>294640</wp:posOffset>
                  </wp:positionV>
                  <wp:extent cx="971550" cy="962660"/>
                  <wp:effectExtent l="0" t="0" r="0" b="8890"/>
                  <wp:wrapNone/>
                  <wp:docPr id="96" name="图片_2"/>
                  <wp:cNvGraphicFramePr/>
                  <a:graphic xmlns:a="http://schemas.openxmlformats.org/drawingml/2006/main">
                    <a:graphicData uri="http://schemas.openxmlformats.org/drawingml/2006/picture">
                      <pic:pic xmlns:pic="http://schemas.openxmlformats.org/drawingml/2006/picture">
                        <pic:nvPicPr>
                          <pic:cNvPr id="96" name="图片_2"/>
                          <pic:cNvPicPr/>
                        </pic:nvPicPr>
                        <pic:blipFill>
                          <a:blip r:embed="rId103"/>
                          <a:stretch>
                            <a:fillRect/>
                          </a:stretch>
                        </pic:blipFill>
                        <pic:spPr>
                          <a:xfrm>
                            <a:off x="0" y="0"/>
                            <a:ext cx="971550" cy="962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1"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3</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休闲座椅</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规格：46*54*高75cm  底座高度43cm；框架：稳固五金木纹脚 优选松木；布艺：人造家具布纹皮，要求耐磨好打理，防水防火，填充海绵，具有弹性；颜色：蓝色布纹 灰色布纹</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34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2512" behindDoc="0" locked="0" layoutInCell="1" allowOverlap="1">
                  <wp:simplePos x="0" y="0"/>
                  <wp:positionH relativeFrom="column">
                    <wp:posOffset>522605</wp:posOffset>
                  </wp:positionH>
                  <wp:positionV relativeFrom="paragraph">
                    <wp:posOffset>56515</wp:posOffset>
                  </wp:positionV>
                  <wp:extent cx="685800" cy="876300"/>
                  <wp:effectExtent l="0" t="0" r="0" b="0"/>
                  <wp:wrapNone/>
                  <wp:docPr id="98" name="图片_4"/>
                  <wp:cNvGraphicFramePr/>
                  <a:graphic xmlns:a="http://schemas.openxmlformats.org/drawingml/2006/main">
                    <a:graphicData uri="http://schemas.openxmlformats.org/drawingml/2006/picture">
                      <pic:pic xmlns:pic="http://schemas.openxmlformats.org/drawingml/2006/picture">
                        <pic:nvPicPr>
                          <pic:cNvPr id="98" name="图片_4"/>
                          <pic:cNvPicPr/>
                        </pic:nvPicPr>
                        <pic:blipFill>
                          <a:blip r:embed="rId104"/>
                          <a:stretch>
                            <a:fillRect/>
                          </a:stretch>
                        </pic:blipFill>
                        <pic:spPr>
                          <a:xfrm>
                            <a:off x="0" y="0"/>
                            <a:ext cx="685800" cy="876300"/>
                          </a:xfrm>
                          <a:prstGeom prst="rect">
                            <a:avLst/>
                          </a:prstGeom>
                          <a:noFill/>
                          <a:ln>
                            <a:noFill/>
                          </a:ln>
                        </pic:spPr>
                      </pic:pic>
                    </a:graphicData>
                  </a:graphic>
                </wp:anchor>
              </w:drawing>
            </w: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0464" behindDoc="0" locked="0" layoutInCell="1" allowOverlap="1">
                  <wp:simplePos x="0" y="0"/>
                  <wp:positionH relativeFrom="column">
                    <wp:posOffset>37465</wp:posOffset>
                  </wp:positionH>
                  <wp:positionV relativeFrom="paragraph">
                    <wp:posOffset>104140</wp:posOffset>
                  </wp:positionV>
                  <wp:extent cx="666750" cy="867410"/>
                  <wp:effectExtent l="0" t="0" r="0" b="8890"/>
                  <wp:wrapNone/>
                  <wp:docPr id="97" name="图片_3"/>
                  <wp:cNvGraphicFramePr/>
                  <a:graphic xmlns:a="http://schemas.openxmlformats.org/drawingml/2006/main">
                    <a:graphicData uri="http://schemas.openxmlformats.org/drawingml/2006/picture">
                      <pic:pic xmlns:pic="http://schemas.openxmlformats.org/drawingml/2006/picture">
                        <pic:nvPicPr>
                          <pic:cNvPr id="97" name="图片_3"/>
                          <pic:cNvPicPr/>
                        </pic:nvPicPr>
                        <pic:blipFill>
                          <a:blip r:embed="rId105"/>
                          <a:stretch>
                            <a:fillRect/>
                          </a:stretch>
                        </pic:blipFill>
                        <pic:spPr>
                          <a:xfrm>
                            <a:off x="0" y="0"/>
                            <a:ext cx="666750" cy="867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8"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4</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实木矮桌</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规格：150*60*高35cm  ；面材：实木松木或橡木，原木木纹，清漆 烤漆，要求抗吸水易清洁，防刮花；造型：人工不规则边；桌腿：三角结构，承重极强 ，底部有可调节脚垫</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台</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2</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3536" behindDoc="0" locked="0" layoutInCell="1" allowOverlap="1">
                  <wp:simplePos x="0" y="0"/>
                  <wp:positionH relativeFrom="column">
                    <wp:posOffset>50165</wp:posOffset>
                  </wp:positionH>
                  <wp:positionV relativeFrom="paragraph">
                    <wp:posOffset>80010</wp:posOffset>
                  </wp:positionV>
                  <wp:extent cx="971550" cy="895350"/>
                  <wp:effectExtent l="0" t="0" r="0" b="0"/>
                  <wp:wrapNone/>
                  <wp:docPr id="99" name="图片_5"/>
                  <wp:cNvGraphicFramePr/>
                  <a:graphic xmlns:a="http://schemas.openxmlformats.org/drawingml/2006/main">
                    <a:graphicData uri="http://schemas.openxmlformats.org/drawingml/2006/picture">
                      <pic:pic xmlns:pic="http://schemas.openxmlformats.org/drawingml/2006/picture">
                        <pic:nvPicPr>
                          <pic:cNvPr id="99" name="图片_5"/>
                          <pic:cNvPicPr/>
                        </pic:nvPicPr>
                        <pic:blipFill>
                          <a:blip r:embed="rId106"/>
                          <a:stretch>
                            <a:fillRect/>
                          </a:stretch>
                        </pic:blipFill>
                        <pic:spPr>
                          <a:xfrm>
                            <a:off x="0" y="0"/>
                            <a:ext cx="971550"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5"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5</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实木矮座</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规格：50*35*高10cm  ；面材：实木松木或橡木面板及座腿，原木木纹，清漆 烤漆抗吸水易清洁，防刮花</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4560" behindDoc="0" locked="0" layoutInCell="1" allowOverlap="1">
                  <wp:simplePos x="0" y="0"/>
                  <wp:positionH relativeFrom="column">
                    <wp:posOffset>142240</wp:posOffset>
                  </wp:positionH>
                  <wp:positionV relativeFrom="paragraph">
                    <wp:posOffset>91440</wp:posOffset>
                  </wp:positionV>
                  <wp:extent cx="971550" cy="391160"/>
                  <wp:effectExtent l="0" t="0" r="0" b="8890"/>
                  <wp:wrapNone/>
                  <wp:docPr id="100" name="图片_6"/>
                  <wp:cNvGraphicFramePr/>
                  <a:graphic xmlns:a="http://schemas.openxmlformats.org/drawingml/2006/main">
                    <a:graphicData uri="http://schemas.openxmlformats.org/drawingml/2006/picture">
                      <pic:pic xmlns:pic="http://schemas.openxmlformats.org/drawingml/2006/picture">
                        <pic:nvPicPr>
                          <pic:cNvPr id="100" name="图片_6"/>
                          <pic:cNvPicPr/>
                        </pic:nvPicPr>
                        <pic:blipFill>
                          <a:blip r:embed="rId107"/>
                          <a:stretch>
                            <a:fillRect/>
                          </a:stretch>
                        </pic:blipFill>
                        <pic:spPr>
                          <a:xfrm>
                            <a:off x="0" y="0"/>
                            <a:ext cx="971550" cy="391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6</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休闲长凳</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规格：43*39*73cm                          1、框架：优质实木框架，板材承受压力达》300KG，经防腐、防虫化学处理，无开裂、弯曲。布艺：优质棉麻  黑灰色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组</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3</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5584" behindDoc="0" locked="0" layoutInCell="1" allowOverlap="1">
                  <wp:simplePos x="0" y="0"/>
                  <wp:positionH relativeFrom="column">
                    <wp:posOffset>199390</wp:posOffset>
                  </wp:positionH>
                  <wp:positionV relativeFrom="paragraph">
                    <wp:posOffset>52705</wp:posOffset>
                  </wp:positionV>
                  <wp:extent cx="971550" cy="552450"/>
                  <wp:effectExtent l="0" t="0" r="0" b="0"/>
                  <wp:wrapNone/>
                  <wp:docPr id="101" name="图片_7"/>
                  <wp:cNvGraphicFramePr/>
                  <a:graphic xmlns:a="http://schemas.openxmlformats.org/drawingml/2006/main">
                    <a:graphicData uri="http://schemas.openxmlformats.org/drawingml/2006/picture">
                      <pic:pic xmlns:pic="http://schemas.openxmlformats.org/drawingml/2006/picture">
                        <pic:nvPicPr>
                          <pic:cNvPr id="101" name="图片_7"/>
                          <pic:cNvPicPr/>
                        </pic:nvPicPr>
                        <pic:blipFill>
                          <a:blip r:embed="rId108"/>
                          <a:stretch>
                            <a:fillRect/>
                          </a:stretch>
                        </pic:blipFill>
                        <pic:spPr>
                          <a:xfrm>
                            <a:off x="0" y="0"/>
                            <a:ext cx="971550"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7</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椅子</w:t>
            </w:r>
          </w:p>
        </w:tc>
        <w:tc>
          <w:tcPr>
            <w:tcW w:w="2821" w:type="dxa"/>
            <w:shd w:val="clear" w:color="auto" w:fill="FFFFFF"/>
            <w:tcMar>
              <w:top w:w="15" w:type="dxa"/>
              <w:left w:w="15" w:type="dxa"/>
              <w:right w:w="15" w:type="dxa"/>
            </w:tcMar>
            <w:vAlign w:val="center"/>
          </w:tcPr>
          <w:p>
            <w:pPr>
              <w:widowControl/>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规格：坐深46厘米，座高45厘米，座位厚8厘米，扶手离地高60厘米，总高78厘米；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1、产品材料：棉麻+锯木实木腿，立邦清漆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2、加厚海绵，防滑毛毡脚垫，底部加固处理</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6608" behindDoc="0" locked="0" layoutInCell="1" allowOverlap="1">
                  <wp:simplePos x="0" y="0"/>
                  <wp:positionH relativeFrom="column">
                    <wp:posOffset>161290</wp:posOffset>
                  </wp:positionH>
                  <wp:positionV relativeFrom="paragraph">
                    <wp:posOffset>207010</wp:posOffset>
                  </wp:positionV>
                  <wp:extent cx="971550" cy="971550"/>
                  <wp:effectExtent l="0" t="0" r="0" b="0"/>
                  <wp:wrapNone/>
                  <wp:docPr id="102" name="图片_8"/>
                  <wp:cNvGraphicFramePr/>
                  <a:graphic xmlns:a="http://schemas.openxmlformats.org/drawingml/2006/main">
                    <a:graphicData uri="http://schemas.openxmlformats.org/drawingml/2006/picture">
                      <pic:pic xmlns:pic="http://schemas.openxmlformats.org/drawingml/2006/picture">
                        <pic:nvPicPr>
                          <pic:cNvPr id="102" name="图片_8"/>
                          <pic:cNvPicPr/>
                        </pic:nvPicPr>
                        <pic:blipFill>
                          <a:blip r:embed="rId109"/>
                          <a:stretch>
                            <a:fillRect/>
                          </a:stretch>
                        </pic:blipFill>
                        <pic:spPr>
                          <a:xfrm>
                            <a:off x="0" y="0"/>
                            <a:ext cx="971550" cy="971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8</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会议桌</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规格：桌长2.4米*宽90*高75*厚5厘米</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面材：优选松木或橡木，木质纹理，清漆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框架：黑色钢铁加厚方形钢管 A字形支撑</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张</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7632" behindDoc="0" locked="0" layoutInCell="1" allowOverlap="1">
                  <wp:simplePos x="0" y="0"/>
                  <wp:positionH relativeFrom="column">
                    <wp:posOffset>106680</wp:posOffset>
                  </wp:positionH>
                  <wp:positionV relativeFrom="paragraph">
                    <wp:posOffset>228600</wp:posOffset>
                  </wp:positionV>
                  <wp:extent cx="971550" cy="647700"/>
                  <wp:effectExtent l="0" t="0" r="0" b="0"/>
                  <wp:wrapNone/>
                  <wp:docPr id="103" name="图片_9"/>
                  <wp:cNvGraphicFramePr/>
                  <a:graphic xmlns:a="http://schemas.openxmlformats.org/drawingml/2006/main">
                    <a:graphicData uri="http://schemas.openxmlformats.org/drawingml/2006/picture">
                      <pic:pic xmlns:pic="http://schemas.openxmlformats.org/drawingml/2006/picture">
                        <pic:nvPicPr>
                          <pic:cNvPr id="103" name="图片_9"/>
                          <pic:cNvPicPr/>
                        </pic:nvPicPr>
                        <pic:blipFill>
                          <a:blip r:embed="rId110"/>
                          <a:stretch>
                            <a:fillRect/>
                          </a:stretch>
                        </pic:blipFill>
                        <pic:spPr>
                          <a:xfrm>
                            <a:off x="0" y="0"/>
                            <a:ext cx="971550" cy="647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7"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9</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会议椅</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规格：79*50*55cm，坐垫高度47cm；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框架：圆润边角设计，防磕碰，弧形靠背设计，自然贴合，优选松木，木质热转印，纹理真实，防滑底脚，清漆 烤漆；</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面料：人造家具布纹皮 ，灰色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24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bdr w:val="single" w:color="000000" w:sz="4" w:space="0"/>
                <w:shd w:val="clear" w:color="auto" w:fill="FFFFFF"/>
                <w14:textFill>
                  <w14:solidFill>
                    <w14:schemeClr w14:val="tx1"/>
                  </w14:solidFill>
                </w14:textFill>
              </w:rPr>
              <w:drawing>
                <wp:anchor distT="0" distB="0" distL="114300" distR="114300" simplePos="0" relativeHeight="251718656" behindDoc="0" locked="0" layoutInCell="1" allowOverlap="1">
                  <wp:simplePos x="0" y="0"/>
                  <wp:positionH relativeFrom="column">
                    <wp:posOffset>257175</wp:posOffset>
                  </wp:positionH>
                  <wp:positionV relativeFrom="paragraph">
                    <wp:posOffset>218440</wp:posOffset>
                  </wp:positionV>
                  <wp:extent cx="895350" cy="848995"/>
                  <wp:effectExtent l="0" t="0" r="0" b="8255"/>
                  <wp:wrapNone/>
                  <wp:docPr id="93" name="图片_10"/>
                  <wp:cNvGraphicFramePr/>
                  <a:graphic xmlns:a="http://schemas.openxmlformats.org/drawingml/2006/main">
                    <a:graphicData uri="http://schemas.openxmlformats.org/drawingml/2006/picture">
                      <pic:pic xmlns:pic="http://schemas.openxmlformats.org/drawingml/2006/picture">
                        <pic:nvPicPr>
                          <pic:cNvPr id="93" name="图片_10"/>
                          <pic:cNvPicPr/>
                        </pic:nvPicPr>
                        <pic:blipFill>
                          <a:blip r:embed="rId111"/>
                          <a:stretch>
                            <a:fillRect/>
                          </a:stretch>
                        </pic:blipFill>
                        <pic:spPr>
                          <a:xfrm>
                            <a:off x="0" y="0"/>
                            <a:ext cx="89535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10</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方形凳</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规格：40*40*40cm；框架：圆润边角设计，防滑底脚；面料：人造家具皮革；颜色：黄色  蓝色</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把</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8</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kern w:val="0"/>
                <w:sz w:val="21"/>
                <w:szCs w:val="21"/>
                <w:highlight w:val="none"/>
                <w:bdr w:val="single" w:color="000000" w:sz="4" w:space="0"/>
                <w:shd w:val="clear" w:color="auto" w:fill="FFFFFF"/>
                <w14:textFill>
                  <w14:solidFill>
                    <w14:schemeClr w14:val="tx1"/>
                  </w14:solidFill>
                </w14:textFill>
              </w:rPr>
              <w:drawing>
                <wp:anchor distT="0" distB="0" distL="114300" distR="114300" simplePos="0" relativeHeight="251719680" behindDoc="0" locked="0" layoutInCell="1" allowOverlap="1">
                  <wp:simplePos x="0" y="0"/>
                  <wp:positionH relativeFrom="column">
                    <wp:posOffset>228600</wp:posOffset>
                  </wp:positionH>
                  <wp:positionV relativeFrom="paragraph">
                    <wp:posOffset>76200</wp:posOffset>
                  </wp:positionV>
                  <wp:extent cx="733425" cy="445770"/>
                  <wp:effectExtent l="0" t="0" r="9525" b="11430"/>
                  <wp:wrapNone/>
                  <wp:docPr id="94" name="图片_11"/>
                  <wp:cNvGraphicFramePr/>
                  <a:graphic xmlns:a="http://schemas.openxmlformats.org/drawingml/2006/main">
                    <a:graphicData uri="http://schemas.openxmlformats.org/drawingml/2006/picture">
                      <pic:pic xmlns:pic="http://schemas.openxmlformats.org/drawingml/2006/picture">
                        <pic:nvPicPr>
                          <pic:cNvPr id="94" name="图片_11"/>
                          <pic:cNvPicPr/>
                        </pic:nvPicPr>
                        <pic:blipFill>
                          <a:blip r:embed="rId112"/>
                          <a:stretch>
                            <a:fillRect/>
                          </a:stretch>
                        </pic:blipFill>
                        <pic:spPr>
                          <a:xfrm>
                            <a:off x="0" y="0"/>
                            <a:ext cx="73342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11</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长形凳</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规格：70*40*40cm；框架：圆润边角设计，防滑底脚</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面料：人造家具皮革；</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颜色：红色</w:t>
            </w:r>
          </w:p>
        </w:tc>
        <w:tc>
          <w:tcPr>
            <w:tcW w:w="783" w:type="dxa"/>
            <w:shd w:val="clear" w:color="auto" w:fill="FFFFFF"/>
            <w:tcMar>
              <w:top w:w="15" w:type="dxa"/>
              <w:left w:w="15" w:type="dxa"/>
              <w:right w:w="15" w:type="dxa"/>
            </w:tcMar>
            <w:vAlign w:val="center"/>
          </w:tcPr>
          <w:p>
            <w:pPr>
              <w:jc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套</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4</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widowControl/>
              <w:jc w:val="center"/>
              <w:textAlignment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kern w:val="0"/>
                <w:sz w:val="21"/>
                <w:szCs w:val="21"/>
                <w:highlight w:val="none"/>
                <w:bdr w:val="single" w:color="000000" w:sz="4" w:space="0"/>
                <w:shd w:val="clear" w:color="auto" w:fill="FFFFFF"/>
                <w14:textFill>
                  <w14:solidFill>
                    <w14:schemeClr w14:val="tx1"/>
                  </w14:solidFill>
                </w14:textFill>
              </w:rPr>
              <w:drawing>
                <wp:anchor distT="0" distB="0" distL="114300" distR="114300" simplePos="0" relativeHeight="251720704" behindDoc="0" locked="0" layoutInCell="1" allowOverlap="1">
                  <wp:simplePos x="0" y="0"/>
                  <wp:positionH relativeFrom="column">
                    <wp:posOffset>142240</wp:posOffset>
                  </wp:positionH>
                  <wp:positionV relativeFrom="paragraph">
                    <wp:posOffset>106045</wp:posOffset>
                  </wp:positionV>
                  <wp:extent cx="971550" cy="670560"/>
                  <wp:effectExtent l="0" t="0" r="0" b="15240"/>
                  <wp:wrapNone/>
                  <wp:docPr id="105" name="图片_12"/>
                  <wp:cNvGraphicFramePr/>
                  <a:graphic xmlns:a="http://schemas.openxmlformats.org/drawingml/2006/main">
                    <a:graphicData uri="http://schemas.openxmlformats.org/drawingml/2006/picture">
                      <pic:pic xmlns:pic="http://schemas.openxmlformats.org/drawingml/2006/picture">
                        <pic:nvPicPr>
                          <pic:cNvPr id="105" name="图片_12"/>
                          <pic:cNvPicPr/>
                        </pic:nvPicPr>
                        <pic:blipFill>
                          <a:blip r:embed="rId113"/>
                          <a:stretch>
                            <a:fillRect/>
                          </a:stretch>
                        </pic:blipFill>
                        <pic:spPr>
                          <a:xfrm>
                            <a:off x="0" y="0"/>
                            <a:ext cx="971550" cy="670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3"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12</w:t>
            </w:r>
          </w:p>
        </w:tc>
        <w:tc>
          <w:tcPr>
            <w:tcW w:w="971" w:type="dxa"/>
            <w:shd w:val="clear" w:color="auto" w:fill="FFFFFF"/>
            <w:tcMar>
              <w:top w:w="15" w:type="dxa"/>
              <w:left w:w="15" w:type="dxa"/>
              <w:right w:w="15" w:type="dxa"/>
            </w:tcMar>
            <w:vAlign w:val="center"/>
          </w:tcPr>
          <w:p>
            <w:pPr>
              <w:widowControl/>
              <w:jc w:val="center"/>
              <w:textAlignment w:val="center"/>
              <w:rPr>
                <w:rFonts w:hint="eastAsia"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移动母婴室（</w:t>
            </w:r>
            <w:r>
              <w:rPr>
                <w:rFonts w:ascii="宋体" w:hAnsi="宋体" w:cs="宋体"/>
                <w:color w:val="000000" w:themeColor="text1"/>
                <w:kern w:val="0"/>
                <w:sz w:val="22"/>
                <w:szCs w:val="22"/>
                <w:highlight w:val="none"/>
                <w:lang w:bidi="ar"/>
                <w14:textFill>
                  <w14:solidFill>
                    <w14:schemeClr w14:val="tx1"/>
                  </w14:solidFill>
                </w14:textFill>
              </w:rPr>
              <w:t>暂定价）</w:t>
            </w:r>
          </w:p>
        </w:tc>
        <w:tc>
          <w:tcPr>
            <w:tcW w:w="2821" w:type="dxa"/>
            <w:shd w:val="clear" w:color="auto" w:fill="FFFFFF"/>
            <w:tcMar>
              <w:top w:w="15" w:type="dxa"/>
              <w:left w:w="15" w:type="dxa"/>
              <w:right w:w="15" w:type="dxa"/>
            </w:tcMar>
          </w:tcPr>
          <w:p>
            <w:pPr>
              <w:widowControl/>
              <w:textAlignment w:val="top"/>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规格：210*110*190cm，</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框架：磨砂亚克力门板，环保E0级进口板材，标识灯箱，摄像头，宣传屏。</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内部：除菌新风系统，内部宣传屏，美妆镜，15KG承重护理台，12V吸奶器专用插座，人体工学哺乳椅子，多功能储物柜，垃圾桶，爸爸椅，高强度静音刹车轮。</w:t>
            </w:r>
            <w:r>
              <w:rPr>
                <w:rFonts w:hint="eastAsia" w:ascii="宋体" w:hAnsi="宋体" w:cs="宋体"/>
                <w:color w:val="000000" w:themeColor="text1"/>
                <w:kern w:val="0"/>
                <w:sz w:val="20"/>
                <w:szCs w:val="20"/>
                <w:highlight w:val="none"/>
                <w:lang w:bidi="ar"/>
                <w14:textFill>
                  <w14:solidFill>
                    <w14:schemeClr w14:val="tx1"/>
                  </w14:solidFill>
                </w14:textFill>
              </w:rPr>
              <w:br w:type="textWrapping"/>
            </w:r>
            <w:r>
              <w:rPr>
                <w:rFonts w:hint="eastAsia" w:ascii="宋体" w:hAnsi="宋体" w:cs="宋体"/>
                <w:color w:val="000000" w:themeColor="text1"/>
                <w:kern w:val="0"/>
                <w:sz w:val="20"/>
                <w:szCs w:val="20"/>
                <w:highlight w:val="none"/>
                <w:lang w:bidi="ar"/>
                <w14:textFill>
                  <w14:solidFill>
                    <w14:schemeClr w14:val="tx1"/>
                  </w14:solidFill>
                </w14:textFill>
              </w:rPr>
              <w:t>技术：云安全；外部远程开锁。</w:t>
            </w: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座</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2</w:t>
            </w:r>
          </w:p>
        </w:tc>
        <w:tc>
          <w:tcPr>
            <w:tcW w:w="1053"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45000</w:t>
            </w:r>
            <w:r>
              <w:rPr>
                <w:rFonts w:ascii="宋体" w:hAnsi="宋体" w:cs="宋体"/>
                <w:color w:val="000000" w:themeColor="text1"/>
                <w:sz w:val="22"/>
                <w:szCs w:val="22"/>
                <w:highlight w:val="none"/>
                <w14:textFill>
                  <w14:solidFill>
                    <w14:schemeClr w14:val="tx1"/>
                  </w14:solidFill>
                </w14:textFill>
              </w:rPr>
              <w:t>.00</w:t>
            </w: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90000.00</w:t>
            </w:r>
          </w:p>
        </w:tc>
        <w:tc>
          <w:tcPr>
            <w:tcW w:w="2011" w:type="dxa"/>
            <w:shd w:val="clear" w:color="auto" w:fill="FFFFFF"/>
            <w:noWrap/>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bdr w:val="single" w:color="000000" w:sz="4" w:space="0"/>
                <w:shd w:val="clear" w:color="auto" w:fill="FFFFFF"/>
                <w14:textFill>
                  <w14:solidFill>
                    <w14:schemeClr w14:val="tx1"/>
                  </w14:solidFill>
                </w14:textFill>
              </w:rPr>
              <w:drawing>
                <wp:anchor distT="0" distB="0" distL="114300" distR="114300" simplePos="0" relativeHeight="251721728" behindDoc="0" locked="0" layoutInCell="1" allowOverlap="1">
                  <wp:simplePos x="0" y="0"/>
                  <wp:positionH relativeFrom="column">
                    <wp:posOffset>36830</wp:posOffset>
                  </wp:positionH>
                  <wp:positionV relativeFrom="paragraph">
                    <wp:posOffset>412115</wp:posOffset>
                  </wp:positionV>
                  <wp:extent cx="1172210" cy="867410"/>
                  <wp:effectExtent l="0" t="0" r="8890" b="8890"/>
                  <wp:wrapNone/>
                  <wp:docPr id="104" name="图片_14"/>
                  <wp:cNvGraphicFramePr/>
                  <a:graphic xmlns:a="http://schemas.openxmlformats.org/drawingml/2006/main">
                    <a:graphicData uri="http://schemas.openxmlformats.org/drawingml/2006/picture">
                      <pic:pic xmlns:pic="http://schemas.openxmlformats.org/drawingml/2006/picture">
                        <pic:nvPicPr>
                          <pic:cNvPr id="104" name="图片_14"/>
                          <pic:cNvPicPr/>
                        </pic:nvPicPr>
                        <pic:blipFill>
                          <a:blip r:embed="rId114"/>
                          <a:stretch>
                            <a:fillRect/>
                          </a:stretch>
                        </pic:blipFill>
                        <pic:spPr>
                          <a:xfrm>
                            <a:off x="0" y="0"/>
                            <a:ext cx="1172210" cy="8674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648"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13</w:t>
            </w:r>
          </w:p>
        </w:tc>
        <w:tc>
          <w:tcPr>
            <w:tcW w:w="971"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预留金</w:t>
            </w:r>
          </w:p>
        </w:tc>
        <w:tc>
          <w:tcPr>
            <w:tcW w:w="2821" w:type="dxa"/>
            <w:shd w:val="clear" w:color="auto" w:fill="FFFFFF"/>
            <w:tcMar>
              <w:top w:w="15" w:type="dxa"/>
              <w:left w:w="15" w:type="dxa"/>
              <w:right w:w="15" w:type="dxa"/>
            </w:tcMar>
          </w:tcPr>
          <w:p>
            <w:pPr>
              <w:rPr>
                <w:rFonts w:ascii="宋体" w:hAnsi="宋体" w:cs="宋体"/>
                <w:color w:val="000000" w:themeColor="text1"/>
                <w:sz w:val="20"/>
                <w:szCs w:val="20"/>
                <w:highlight w:val="none"/>
                <w14:textFill>
                  <w14:solidFill>
                    <w14:schemeClr w14:val="tx1"/>
                  </w14:solidFill>
                </w14:textFill>
              </w:rPr>
            </w:pPr>
          </w:p>
        </w:tc>
        <w:tc>
          <w:tcPr>
            <w:tcW w:w="783" w:type="dxa"/>
            <w:shd w:val="clear" w:color="auto" w:fill="FFFFFF"/>
            <w:tcMar>
              <w:top w:w="15" w:type="dxa"/>
              <w:left w:w="15" w:type="dxa"/>
              <w:right w:w="15" w:type="dxa"/>
            </w:tcMar>
            <w:vAlign w:val="center"/>
          </w:tcPr>
          <w:p>
            <w:pPr>
              <w:widowControl/>
              <w:jc w:val="center"/>
              <w:textAlignment w:val="center"/>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bidi="ar"/>
                <w14:textFill>
                  <w14:solidFill>
                    <w14:schemeClr w14:val="tx1"/>
                  </w14:solidFill>
                </w14:textFill>
              </w:rPr>
              <w:t>项</w:t>
            </w:r>
          </w:p>
        </w:tc>
        <w:tc>
          <w:tcPr>
            <w:tcW w:w="661" w:type="dxa"/>
            <w:shd w:val="clear" w:color="auto" w:fill="FFFFFF"/>
            <w:tcMar>
              <w:top w:w="15" w:type="dxa"/>
              <w:left w:w="15" w:type="dxa"/>
              <w:right w:w="15" w:type="dxa"/>
            </w:tcMar>
            <w:vAlign w:val="center"/>
          </w:tcPr>
          <w:p>
            <w:pPr>
              <w:widowControl/>
              <w:jc w:val="center"/>
              <w:textAlignment w:val="center"/>
              <w:rPr>
                <w:rFonts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kern w:val="0"/>
                <w:sz w:val="18"/>
                <w:szCs w:val="18"/>
                <w:highlight w:val="none"/>
                <w:lang w:bidi="ar"/>
                <w14:textFill>
                  <w14:solidFill>
                    <w14:schemeClr w14:val="tx1"/>
                  </w14:solidFill>
                </w14:textFill>
              </w:rPr>
              <w:t>1</w:t>
            </w:r>
          </w:p>
        </w:tc>
        <w:tc>
          <w:tcPr>
            <w:tcW w:w="1053"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c>
          <w:tcPr>
            <w:tcW w:w="1052" w:type="dxa"/>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 xml:space="preserve">10000.00 </w:t>
            </w:r>
          </w:p>
        </w:tc>
        <w:tc>
          <w:tcPr>
            <w:tcW w:w="2011" w:type="dxa"/>
            <w:shd w:val="clear" w:color="auto" w:fill="FFFFFF"/>
            <w:noWrap/>
            <w:tcMar>
              <w:top w:w="15" w:type="dxa"/>
              <w:left w:w="15" w:type="dxa"/>
              <w:right w:w="15" w:type="dxa"/>
            </w:tcMar>
            <w:vAlign w:val="center"/>
          </w:tcPr>
          <w:p>
            <w:pPr>
              <w:jc w:val="center"/>
              <w:rPr>
                <w:rFonts w:ascii="仿宋" w:hAnsi="仿宋" w:eastAsia="仿宋" w:cs="仿宋"/>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trPr>
        <w:tc>
          <w:tcPr>
            <w:tcW w:w="6937" w:type="dxa"/>
            <w:gridSpan w:val="6"/>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总计（报价须包含预留金及</w:t>
            </w:r>
            <w:r>
              <w:rPr>
                <w:rFonts w:ascii="宋体" w:hAnsi="宋体" w:cs="宋体"/>
                <w:color w:val="000000" w:themeColor="text1"/>
                <w:kern w:val="0"/>
                <w:sz w:val="22"/>
                <w:szCs w:val="22"/>
                <w:highlight w:val="none"/>
                <w:lang w:bidi="ar"/>
                <w14:textFill>
                  <w14:solidFill>
                    <w14:schemeClr w14:val="tx1"/>
                  </w14:solidFill>
                </w14:textFill>
              </w:rPr>
              <w:t>暂定价</w:t>
            </w:r>
            <w:r>
              <w:rPr>
                <w:rFonts w:hint="eastAsia" w:ascii="宋体" w:hAnsi="宋体" w:cs="宋体"/>
                <w:color w:val="000000" w:themeColor="text1"/>
                <w:kern w:val="0"/>
                <w:sz w:val="22"/>
                <w:szCs w:val="22"/>
                <w:highlight w:val="none"/>
                <w:lang w:bidi="ar"/>
                <w14:textFill>
                  <w14:solidFill>
                    <w14:schemeClr w14:val="tx1"/>
                  </w14:solidFill>
                </w14:textFill>
              </w:rPr>
              <w:t>）</w:t>
            </w:r>
          </w:p>
        </w:tc>
        <w:tc>
          <w:tcPr>
            <w:tcW w:w="1052" w:type="dxa"/>
            <w:shd w:val="clear" w:color="auto" w:fill="auto"/>
            <w:tcMar>
              <w:top w:w="15" w:type="dxa"/>
              <w:left w:w="15" w:type="dxa"/>
              <w:right w:w="15" w:type="dxa"/>
            </w:tcMar>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2011" w:type="dxa"/>
            <w:shd w:val="clear" w:color="auto" w:fill="FFFFFF"/>
            <w:noWrap/>
            <w:tcMar>
              <w:top w:w="15" w:type="dxa"/>
              <w:left w:w="15" w:type="dxa"/>
              <w:right w:w="15" w:type="dxa"/>
            </w:tcMar>
            <w:vAlign w:val="center"/>
          </w:tcPr>
          <w:p>
            <w:pPr>
              <w:rPr>
                <w:rFonts w:ascii="宋体" w:hAnsi="宋体" w:cs="宋体"/>
                <w:color w:val="000000" w:themeColor="text1"/>
                <w:highlight w:val="none"/>
                <w14:textFill>
                  <w14:solidFill>
                    <w14:schemeClr w14:val="tx1"/>
                  </w14:solidFill>
                </w14:textFill>
              </w:rPr>
            </w:pPr>
          </w:p>
        </w:tc>
      </w:tr>
    </w:tbl>
    <w:p>
      <w:pPr>
        <w:pStyle w:val="2"/>
        <w:ind w:left="480"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询比文件在技术要求中指出的工艺、材料、规格及参照的品牌仅作为说明并没有限制性，竞标人可以在竞标中选用替代标准，但这些替代标准要相当于或优于技术规格中要求的标准。其中移动母婴室为暂定价，采购时须经业主单位二次认价。</w:t>
      </w:r>
    </w:p>
    <w:p>
      <w:pPr>
        <w:pStyle w:val="6"/>
        <w:rPr>
          <w:rStyle w:val="39"/>
          <w:bCs/>
          <w:color w:val="000000" w:themeColor="text1"/>
          <w:highlight w:val="none"/>
          <w14:textFill>
            <w14:solidFill>
              <w14:schemeClr w14:val="tx1"/>
            </w14:solidFill>
          </w14:textFill>
        </w:rPr>
      </w:pPr>
      <w:bookmarkStart w:id="46" w:name="_Toc31745"/>
      <w:bookmarkStart w:id="47" w:name="_Toc10635"/>
      <w:r>
        <w:rPr>
          <w:rStyle w:val="39"/>
          <w:rFonts w:hint="eastAsia"/>
          <w:bCs/>
          <w:color w:val="000000" w:themeColor="text1"/>
          <w:highlight w:val="none"/>
          <w14:textFill>
            <w14:solidFill>
              <w14:schemeClr w14:val="tx1"/>
            </w14:solidFill>
          </w14:textFill>
        </w:rPr>
        <w:t>三、法定代表人（单位负责人）身份证明</w:t>
      </w:r>
      <w:bookmarkEnd w:id="46"/>
      <w:bookmarkEnd w:id="47"/>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竞标人名称：</w:t>
      </w:r>
      <w:r>
        <w:rPr>
          <w:rFonts w:hint="eastAsia" w:ascii="宋体" w:hAnsi="宋体" w:cs="宋体"/>
          <w:color w:val="000000" w:themeColor="text1"/>
          <w:sz w:val="22"/>
          <w:szCs w:val="22"/>
          <w:highlight w:val="none"/>
          <w:u w:val="single"/>
          <w14:textFill>
            <w14:solidFill>
              <w14:schemeClr w14:val="tx1"/>
            </w14:solidFill>
          </w14:textFill>
        </w:rPr>
        <w:t xml:space="preserve">                      </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姓名：</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 xml:space="preserve"> 性别：</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年龄：</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职务</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 xml:space="preserve">系 </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（竞标人名称）的法定代表人（单位负责人）。</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特此证明。</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tabs>
          <w:tab w:val="left" w:pos="6400"/>
        </w:tabs>
        <w:overflowPunct w:val="0"/>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竞标人：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（单位公章）</w:t>
      </w:r>
    </w:p>
    <w:p>
      <w:pPr>
        <w:tabs>
          <w:tab w:val="left" w:pos="6080"/>
          <w:tab w:val="left" w:pos="6920"/>
        </w:tabs>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月</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日</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附：法定代表人（单位负责人）身份证复印件。</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rPr>
          <w:color w:val="000000" w:themeColor="text1"/>
          <w:highlight w:val="none"/>
          <w14:textFill>
            <w14:solidFill>
              <w14:schemeClr w14:val="tx1"/>
            </w14:solidFill>
          </w14:textFill>
        </w:rPr>
      </w:pPr>
      <w:bookmarkStart w:id="48" w:name="page82"/>
      <w:bookmarkEnd w:id="48"/>
      <w:r>
        <w:rPr>
          <w:rFonts w:hint="eastAsia" w:ascii="宋体" w:hAnsi="宋体" w:cs="宋体"/>
          <w:b/>
          <w:color w:val="000000" w:themeColor="text1"/>
          <w:szCs w:val="22"/>
          <w:highlight w:val="none"/>
          <w14:textFill>
            <w14:solidFill>
              <w14:schemeClr w14:val="tx1"/>
            </w14:solidFill>
          </w14:textFill>
        </w:rPr>
        <w:br w:type="page"/>
      </w:r>
    </w:p>
    <w:p>
      <w:pPr>
        <w:pStyle w:val="6"/>
        <w:rPr>
          <w:rFonts w:ascii="宋体" w:hAnsi="宋体" w:eastAsia="宋体" w:cs="宋体"/>
          <w:color w:val="000000" w:themeColor="text1"/>
          <w:sz w:val="22"/>
          <w:szCs w:val="22"/>
          <w:highlight w:val="none"/>
          <w14:textFill>
            <w14:solidFill>
              <w14:schemeClr w14:val="tx1"/>
            </w14:solidFill>
          </w14:textFill>
        </w:rPr>
      </w:pPr>
      <w:bookmarkStart w:id="49" w:name="_Toc13166"/>
      <w:bookmarkStart w:id="50" w:name="_Toc10831"/>
      <w:r>
        <w:rPr>
          <w:rStyle w:val="39"/>
          <w:rFonts w:hint="eastAsia"/>
          <w:bCs/>
          <w:color w:val="000000" w:themeColor="text1"/>
          <w:highlight w:val="none"/>
          <w14:textFill>
            <w14:solidFill>
              <w14:schemeClr w14:val="tx1"/>
            </w14:solidFill>
          </w14:textFill>
        </w:rPr>
        <w:t>四、授权委托书</w:t>
      </w:r>
      <w:bookmarkEnd w:id="49"/>
      <w:bookmarkEnd w:id="50"/>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本人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（姓名）系</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（竞标人名称）的法定代表人（单位负责人），现委托</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（姓名）为我方代理人。代理人根据授权，以我方名义签署、澄清确认、递交、撤回、修改</w:t>
      </w:r>
      <w:r>
        <w:rPr>
          <w:rFonts w:hint="eastAsia" w:ascii="宋体" w:hAnsi="宋体" w:cs="宋体"/>
          <w:color w:val="000000" w:themeColor="text1"/>
          <w:sz w:val="22"/>
          <w:szCs w:val="22"/>
          <w:highlight w:val="none"/>
          <w:u w:val="single"/>
          <w14:textFill>
            <w14:solidFill>
              <w14:schemeClr w14:val="tx1"/>
            </w14:solidFill>
          </w14:textFill>
        </w:rPr>
        <w:t xml:space="preserve">                 （项目名称）</w:t>
      </w:r>
      <w:r>
        <w:rPr>
          <w:rFonts w:hint="eastAsia" w:ascii="宋体" w:hAnsi="宋体" w:cs="宋体"/>
          <w:color w:val="000000" w:themeColor="text1"/>
          <w:sz w:val="22"/>
          <w:szCs w:val="22"/>
          <w:highlight w:val="none"/>
          <w14:textFill>
            <w14:solidFill>
              <w14:schemeClr w14:val="tx1"/>
            </w14:solidFill>
          </w14:textFill>
        </w:rPr>
        <w:t>采购响应文件、签订合同和处理有关事宜，其法律后果由我方承担。</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委托期限：</w:t>
      </w:r>
      <w:r>
        <w:rPr>
          <w:rFonts w:hint="eastAsia" w:ascii="宋体" w:hAnsi="宋体" w:cs="宋体"/>
          <w:color w:val="000000" w:themeColor="text1"/>
          <w:sz w:val="22"/>
          <w:szCs w:val="22"/>
          <w:highlight w:val="none"/>
          <w:u w:val="single"/>
          <w14:textFill>
            <w14:solidFill>
              <w14:schemeClr w14:val="tx1"/>
            </w14:solidFill>
          </w14:textFill>
        </w:rPr>
        <w:t xml:space="preserve">                 。</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代理人无转委托权。</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附：法定代表人（单位负责人）身份证复印件及委托代理人身份证复印件</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注：本授权委托书需由竞标人加盖单位公章并由其法定代表人（单位负责人）和委托代理人签字。</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竞  标  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（单位公章）</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法定代表人（单位负责人）：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（签字）</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身份证号码：</w:t>
      </w:r>
      <w:r>
        <w:rPr>
          <w:rFonts w:hint="eastAsia" w:ascii="宋体" w:hAnsi="宋体" w:cs="宋体"/>
          <w:color w:val="000000" w:themeColor="text1"/>
          <w:sz w:val="22"/>
          <w:szCs w:val="22"/>
          <w:highlight w:val="none"/>
          <w:u w:val="single"/>
          <w14:textFill>
            <w14:solidFill>
              <w14:schemeClr w14:val="tx1"/>
            </w14:solidFill>
          </w14:textFill>
        </w:rPr>
        <w:t xml:space="preserve">                 </w:t>
      </w:r>
    </w:p>
    <w:p>
      <w:pPr>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委托代理人：</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（签字）</w:t>
      </w:r>
    </w:p>
    <w:p>
      <w:pPr>
        <w:wordWrap w:val="0"/>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 xml:space="preserve">身份证号码：                    </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tabs>
          <w:tab w:val="left" w:pos="6080"/>
          <w:tab w:val="left" w:pos="6920"/>
        </w:tabs>
        <w:adjustRightInd w:val="0"/>
        <w:snapToGrid w:val="0"/>
        <w:spacing w:line="300" w:lineRule="auto"/>
        <w:ind w:firstLine="440" w:firstLineChars="200"/>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年</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月</w:t>
      </w:r>
      <w:r>
        <w:rPr>
          <w:rFonts w:hint="eastAsia" w:ascii="宋体" w:hAnsi="宋体" w:cs="宋体"/>
          <w:color w:val="000000" w:themeColor="text1"/>
          <w:sz w:val="22"/>
          <w:szCs w:val="22"/>
          <w:highlight w:val="none"/>
          <w:u w:val="single"/>
          <w14:textFill>
            <w14:solidFill>
              <w14:schemeClr w14:val="tx1"/>
            </w14:solidFill>
          </w14:textFill>
        </w:rPr>
        <w:t xml:space="preserve">          </w:t>
      </w:r>
      <w:r>
        <w:rPr>
          <w:rFonts w:hint="eastAsia" w:ascii="宋体" w:hAnsi="宋体" w:cs="宋体"/>
          <w:color w:val="000000" w:themeColor="text1"/>
          <w:sz w:val="22"/>
          <w:szCs w:val="22"/>
          <w:highlight w:val="none"/>
          <w14:textFill>
            <w14:solidFill>
              <w14:schemeClr w14:val="tx1"/>
            </w14:solidFill>
          </w14:textFill>
        </w:rPr>
        <w:t>日</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sectPr>
          <w:pgSz w:w="11906" w:h="16838"/>
          <w:pgMar w:top="1417" w:right="1417" w:bottom="1417" w:left="1417" w:header="850" w:footer="850" w:gutter="0"/>
          <w:cols w:space="720" w:num="1"/>
        </w:sectPr>
      </w:pPr>
    </w:p>
    <w:p>
      <w:pPr>
        <w:widowControl/>
        <w:shd w:val="clear" w:color="auto" w:fill="FFFFFF"/>
        <w:spacing w:line="360" w:lineRule="auto"/>
        <w:jc w:val="both"/>
        <w:rPr>
          <w:rFonts w:ascii="宋体" w:hAnsi="宋体" w:cs="宋体"/>
          <w:color w:val="000000" w:themeColor="text1"/>
          <w:sz w:val="22"/>
          <w:szCs w:val="22"/>
          <w:highlight w:val="none"/>
          <w14:textFill>
            <w14:solidFill>
              <w14:schemeClr w14:val="tx1"/>
            </w14:solidFill>
          </w14:textFill>
        </w:rPr>
      </w:pPr>
      <w:bookmarkStart w:id="51" w:name="_Toc11523"/>
      <w:bookmarkStart w:id="52" w:name="_Toc11440"/>
    </w:p>
    <w:bookmarkEnd w:id="51"/>
    <w:bookmarkEnd w:id="52"/>
    <w:p>
      <w:pPr>
        <w:pStyle w:val="7"/>
        <w:rPr>
          <w:rFonts w:ascii="Calibri" w:hAnsi="Arial" w:eastAsia="黑体"/>
          <w:color w:val="000000" w:themeColor="text1"/>
          <w:sz w:val="32"/>
          <w:highlight w:val="none"/>
          <w14:textFill>
            <w14:solidFill>
              <w14:schemeClr w14:val="tx1"/>
            </w14:solidFill>
          </w14:textFill>
        </w:rPr>
      </w:pPr>
      <w:bookmarkStart w:id="53" w:name="_Toc13261"/>
      <w:bookmarkStart w:id="54" w:name="_Toc30562"/>
      <w:r>
        <w:rPr>
          <w:rFonts w:hint="eastAsia" w:ascii="Calibri" w:hAnsi="Arial" w:eastAsia="黑体"/>
          <w:color w:val="000000" w:themeColor="text1"/>
          <w:sz w:val="32"/>
          <w:highlight w:val="none"/>
          <w14:textFill>
            <w14:solidFill>
              <w14:schemeClr w14:val="tx1"/>
            </w14:solidFill>
          </w14:textFill>
        </w:rPr>
        <w:t>五、资格审查资料</w:t>
      </w:r>
    </w:p>
    <w:p>
      <w:pPr>
        <w:pStyle w:val="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（一）基本情况表</w:t>
      </w:r>
      <w:bookmarkEnd w:id="53"/>
      <w:bookmarkEnd w:id="54"/>
    </w:p>
    <w:tbl>
      <w:tblPr>
        <w:tblStyle w:val="19"/>
        <w:tblW w:w="10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037"/>
        <w:gridCol w:w="2038"/>
        <w:gridCol w:w="2038"/>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竞标人名称</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注册资金</w:t>
            </w:r>
          </w:p>
        </w:tc>
        <w:tc>
          <w:tcPr>
            <w:tcW w:w="4075" w:type="dxa"/>
            <w:gridSpan w:val="2"/>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成立时间</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注册地址</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邮政编码</w:t>
            </w:r>
          </w:p>
        </w:tc>
        <w:tc>
          <w:tcPr>
            <w:tcW w:w="4075" w:type="dxa"/>
            <w:gridSpan w:val="2"/>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员工总数</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Merge w:val="restart"/>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联系方式</w:t>
            </w:r>
          </w:p>
        </w:tc>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联系人</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电话</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Merge w:val="continue"/>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网址</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传真</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法定代表人</w:t>
            </w:r>
          </w:p>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（单位负责人）</w:t>
            </w:r>
          </w:p>
        </w:tc>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姓名</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电话</w:t>
            </w:r>
          </w:p>
        </w:tc>
        <w:tc>
          <w:tcPr>
            <w:tcW w:w="2038"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竞标人须知要求竞标人需具有的各类证书</w:t>
            </w:r>
          </w:p>
        </w:tc>
        <w:tc>
          <w:tcPr>
            <w:tcW w:w="8151" w:type="dxa"/>
            <w:gridSpan w:val="4"/>
            <w:vAlign w:val="center"/>
          </w:tcPr>
          <w:p>
            <w:pPr>
              <w:adjustRightInd w:val="0"/>
              <w:snapToGrid w:val="0"/>
              <w:spacing w:line="300" w:lineRule="auto"/>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类型：                 等级：                  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基本账户开户银行</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基本账户银行账号</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竞标人关联企业情况（包括但不限于与竞标人法定代表人（单位负责人）为同一人或者存在控股、管理关系的不同单位）</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竞标设备制造商名称</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037" w:type="dxa"/>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备注</w:t>
            </w:r>
          </w:p>
        </w:tc>
        <w:tc>
          <w:tcPr>
            <w:tcW w:w="8151" w:type="dxa"/>
            <w:gridSpan w:val="4"/>
            <w:vAlign w:val="center"/>
          </w:tcPr>
          <w:p>
            <w:pPr>
              <w:adjustRightInd w:val="0"/>
              <w:snapToGrid w:val="0"/>
              <w:spacing w:line="300" w:lineRule="auto"/>
              <w:jc w:val="center"/>
              <w:rPr>
                <w:rFonts w:ascii="宋体" w:hAnsi="宋体" w:cs="宋体"/>
                <w:color w:val="000000" w:themeColor="text1"/>
                <w:sz w:val="18"/>
                <w:szCs w:val="18"/>
                <w:highlight w:val="none"/>
                <w14:textFill>
                  <w14:solidFill>
                    <w14:schemeClr w14:val="tx1"/>
                  </w14:solidFill>
                </w14:textFill>
              </w:rPr>
            </w:pPr>
          </w:p>
        </w:tc>
      </w:tr>
    </w:tbl>
    <w:p>
      <w:pPr>
        <w:adjustRightInd w:val="0"/>
        <w:snapToGrid w:val="0"/>
        <w:spacing w:line="300" w:lineRule="auto"/>
        <w:ind w:firstLine="360" w:firstLineChars="200"/>
        <w:rPr>
          <w:rFonts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注：1. 竞标人应在本表后附相关证明材料。</w:t>
      </w:r>
    </w:p>
    <w:p>
      <w:pPr>
        <w:pStyle w:val="7"/>
        <w:rPr>
          <w:color w:val="000000" w:themeColor="text1"/>
          <w:sz w:val="10"/>
          <w:szCs w:val="10"/>
          <w:highlight w:val="none"/>
          <w14:textFill>
            <w14:solidFill>
              <w14:schemeClr w14:val="tx1"/>
            </w14:solidFill>
          </w14:textFill>
        </w:rPr>
      </w:pPr>
      <w:bookmarkStart w:id="55" w:name="page89"/>
      <w:bookmarkEnd w:id="55"/>
      <w:bookmarkStart w:id="56" w:name="_Toc14124"/>
      <w:bookmarkStart w:id="57" w:name="_Toc31676"/>
    </w:p>
    <w:p>
      <w:pPr>
        <w:pStyle w:val="8"/>
        <w:ind w:firstLine="480"/>
        <w:rPr>
          <w:color w:val="000000" w:themeColor="text1"/>
          <w:highlight w:val="none"/>
          <w14:textFill>
            <w14:solidFill>
              <w14:schemeClr w14:val="tx1"/>
            </w14:solidFill>
          </w14:textFill>
        </w:rPr>
      </w:pPr>
    </w:p>
    <w:p>
      <w:pPr>
        <w:pStyle w:val="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w:t>
      </w:r>
      <w:bookmarkEnd w:id="56"/>
      <w:bookmarkEnd w:id="57"/>
      <w:bookmarkStart w:id="58" w:name="_Toc22198"/>
      <w:bookmarkStart w:id="59" w:name="_Toc10207"/>
      <w:r>
        <w:rPr>
          <w:rFonts w:hint="eastAsia"/>
          <w:color w:val="000000" w:themeColor="text1"/>
          <w:highlight w:val="none"/>
          <w14:textFill>
            <w14:solidFill>
              <w14:schemeClr w14:val="tx1"/>
            </w14:solidFill>
          </w14:textFill>
        </w:rPr>
        <w:t>近年（2016年1月1日至今）完成的类似项目情况表</w:t>
      </w:r>
      <w:bookmarkEnd w:id="58"/>
      <w:bookmarkEnd w:id="59"/>
    </w:p>
    <w:tbl>
      <w:tblPr>
        <w:tblStyle w:val="19"/>
        <w:tblW w:w="92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6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项目名称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项目所在地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发包人名称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发包人地址</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发包人电话</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合同价格</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开工日期</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交工日期</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承担的工作</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项目描述</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7" w:type="dxa"/>
            <w:vAlign w:val="center"/>
          </w:tcPr>
          <w:p>
            <w:pPr>
              <w:topLinePunct/>
              <w:jc w:val="cente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备注</w:t>
            </w:r>
          </w:p>
        </w:tc>
        <w:tc>
          <w:tcPr>
            <w:tcW w:w="6773" w:type="dxa"/>
          </w:tcPr>
          <w:p>
            <w:pPr>
              <w:topLinePunct/>
              <w:spacing w:line="360" w:lineRule="auto"/>
              <w:rPr>
                <w:rFonts w:ascii="Times New Roman" w:hAnsi="Times New Roman"/>
                <w:color w:val="000000" w:themeColor="text1"/>
                <w:highlight w:val="none"/>
                <w14:textFill>
                  <w14:solidFill>
                    <w14:schemeClr w14:val="tx1"/>
                  </w14:solidFill>
                </w14:textFill>
              </w:rPr>
            </w:pPr>
          </w:p>
        </w:tc>
      </w:tr>
    </w:tbl>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p>
    <w:p>
      <w:pPr>
        <w:adjustRightInd w:val="0"/>
        <w:snapToGrid w:val="0"/>
        <w:spacing w:line="300" w:lineRule="auto"/>
        <w:rPr>
          <w:rFonts w:ascii="楷体" w:hAnsi="楷体" w:eastAsia="楷体" w:cs="宋体"/>
          <w:b/>
          <w:color w:val="000000" w:themeColor="text1"/>
          <w:highlight w:val="none"/>
          <w14:textFill>
            <w14:solidFill>
              <w14:schemeClr w14:val="tx1"/>
            </w14:solidFill>
          </w14:textFill>
        </w:rPr>
      </w:pPr>
      <w:r>
        <w:rPr>
          <w:rFonts w:hint="eastAsia" w:ascii="楷体" w:hAnsi="楷体" w:eastAsia="楷体" w:cs="宋体"/>
          <w:b/>
          <w:color w:val="000000" w:themeColor="text1"/>
          <w:highlight w:val="none"/>
          <w14:textFill>
            <w14:solidFill>
              <w14:schemeClr w14:val="tx1"/>
            </w14:solidFill>
          </w14:textFill>
        </w:rPr>
        <w:t>注：1.每个合同填写一份表格；</w:t>
      </w:r>
    </w:p>
    <w:p>
      <w:pPr>
        <w:ind w:firstLine="482" w:firstLineChars="200"/>
        <w:rPr>
          <w:rFonts w:ascii="楷体" w:hAnsi="楷体" w:eastAsia="楷体"/>
          <w:b/>
          <w:color w:val="000000" w:themeColor="text1"/>
          <w:highlight w:val="none"/>
          <w14:textFill>
            <w14:solidFill>
              <w14:schemeClr w14:val="tx1"/>
            </w14:solidFill>
          </w14:textFill>
        </w:rPr>
      </w:pPr>
      <w:r>
        <w:rPr>
          <w:rFonts w:hint="eastAsia" w:ascii="楷体" w:hAnsi="楷体" w:eastAsia="楷体"/>
          <w:b/>
          <w:color w:val="000000" w:themeColor="text1"/>
          <w:highlight w:val="none"/>
          <w14:textFill>
            <w14:solidFill>
              <w14:schemeClr w14:val="tx1"/>
            </w14:solidFill>
          </w14:textFill>
        </w:rPr>
        <w:t>2.业绩证明材料：</w:t>
      </w:r>
      <w:r>
        <w:rPr>
          <w:rFonts w:hint="eastAsia" w:ascii="楷体" w:hAnsi="楷体" w:eastAsia="楷体" w:cs="宋体"/>
          <w:b/>
          <w:color w:val="000000" w:themeColor="text1"/>
          <w:highlight w:val="none"/>
          <w14:textFill>
            <w14:solidFill>
              <w14:schemeClr w14:val="tx1"/>
            </w14:solidFill>
          </w14:textFill>
        </w:rPr>
        <w:t>近三年（2016年1月1日至今）独立完成过1个合同金额在60万元及以上的家具供货及安装业绩(提供业绩的合同协议书复印件，时间以合同协议书的签订时间为准)。若合同无法体现相关工作内容，须提供业主证明或其它相关证明材料。</w:t>
      </w:r>
    </w:p>
    <w:p>
      <w:pPr>
        <w:ind w:firstLine="482" w:firstLineChars="200"/>
        <w:rPr>
          <w:rFonts w:ascii="楷体" w:hAnsi="楷体" w:eastAsia="楷体"/>
          <w:b/>
          <w:color w:val="000000" w:themeColor="text1"/>
          <w:highlight w:val="none"/>
          <w14:textFill>
            <w14:solidFill>
              <w14:schemeClr w14:val="tx1"/>
            </w14:solidFill>
          </w14:textFill>
        </w:rPr>
      </w:pPr>
      <w:r>
        <w:rPr>
          <w:rFonts w:hint="eastAsia" w:ascii="楷体" w:hAnsi="楷体" w:eastAsia="楷体"/>
          <w:b/>
          <w:color w:val="000000" w:themeColor="text1"/>
          <w:highlight w:val="none"/>
          <w14:textFill>
            <w14:solidFill>
              <w14:schemeClr w14:val="tx1"/>
            </w14:solidFill>
          </w14:textFill>
        </w:rPr>
        <w:t>3</w:t>
      </w:r>
      <w:r>
        <w:rPr>
          <w:rFonts w:ascii="楷体" w:hAnsi="楷体" w:eastAsia="楷体"/>
          <w:b/>
          <w:color w:val="000000" w:themeColor="text1"/>
          <w:highlight w:val="none"/>
          <w14:textFill>
            <w14:solidFill>
              <w14:schemeClr w14:val="tx1"/>
            </w14:solidFill>
          </w14:textFill>
        </w:rPr>
        <w:t>.如近年来，竞标人法人机构发生合法变更或重组或法人名称变更时，应提供相关部门的合法批件或其他相关证明材料来证明其所附业绩的继承性</w:t>
      </w:r>
      <w:r>
        <w:rPr>
          <w:rFonts w:hint="eastAsia" w:ascii="楷体" w:hAnsi="楷体" w:eastAsia="楷体"/>
          <w:b/>
          <w:color w:val="000000" w:themeColor="text1"/>
          <w:highlight w:val="none"/>
          <w14:textFill>
            <w14:solidFill>
              <w14:schemeClr w14:val="tx1"/>
            </w14:solidFill>
          </w14:textFill>
        </w:rPr>
        <w:t>。</w:t>
      </w:r>
      <w:bookmarkStart w:id="60" w:name="_Toc10413"/>
      <w:bookmarkStart w:id="61" w:name="_Toc12266"/>
      <w:bookmarkStart w:id="62" w:name="_Toc11975"/>
      <w:bookmarkStart w:id="63" w:name="_Toc6666"/>
    </w:p>
    <w:p>
      <w:pPr>
        <w:pStyle w:val="2"/>
        <w:ind w:left="480" w:firstLine="482"/>
        <w:rPr>
          <w:rFonts w:ascii="楷体" w:hAnsi="楷体" w:eastAsia="楷体"/>
          <w:b/>
          <w:color w:val="000000" w:themeColor="text1"/>
          <w:szCs w:val="24"/>
          <w:highlight w:val="none"/>
          <w14:textFill>
            <w14:solidFill>
              <w14:schemeClr w14:val="tx1"/>
            </w14:solidFill>
          </w14:textFill>
        </w:rPr>
      </w:pPr>
    </w:p>
    <w:p>
      <w:pPr>
        <w:pStyle w:val="8"/>
        <w:ind w:firstLine="482"/>
        <w:rPr>
          <w:rFonts w:ascii="楷体" w:hAnsi="楷体" w:eastAsia="楷体"/>
          <w:b/>
          <w:color w:val="000000" w:themeColor="text1"/>
          <w:highlight w:val="none"/>
          <w14:textFill>
            <w14:solidFill>
              <w14:schemeClr w14:val="tx1"/>
            </w14:solidFill>
          </w14:textFill>
        </w:rPr>
      </w:pPr>
    </w:p>
    <w:bookmarkEnd w:id="60"/>
    <w:bookmarkEnd w:id="61"/>
    <w:bookmarkEnd w:id="62"/>
    <w:bookmarkEnd w:id="63"/>
    <w:p>
      <w:pPr>
        <w:rPr>
          <w:rFonts w:ascii="Times New Roman" w:hAnsi="Times New Roman"/>
          <w:color w:val="000000" w:themeColor="text1"/>
          <w:szCs w:val="21"/>
          <w:highlight w:val="none"/>
          <w14:textFill>
            <w14:solidFill>
              <w14:schemeClr w14:val="tx1"/>
            </w14:solidFill>
          </w14:textFill>
        </w:rPr>
        <w:sectPr>
          <w:headerReference r:id="rId18" w:type="default"/>
          <w:footnotePr>
            <w:numFmt w:val="decimalEnclosedCircleChinese"/>
            <w:numRestart w:val="eachPage"/>
          </w:footnotePr>
          <w:pgSz w:w="11906" w:h="16838"/>
          <w:pgMar w:top="1418" w:right="1418" w:bottom="1418" w:left="1418" w:header="851" w:footer="851" w:gutter="0"/>
          <w:cols w:space="720" w:num="1"/>
          <w:docGrid w:linePitch="312" w:charSpace="0"/>
        </w:sectPr>
      </w:pPr>
    </w:p>
    <w:p>
      <w:pPr>
        <w:pStyle w:val="7"/>
        <w:rPr>
          <w:color w:val="000000" w:themeColor="text1"/>
          <w:highlight w:val="none"/>
          <w14:textFill>
            <w14:solidFill>
              <w14:schemeClr w14:val="tx1"/>
            </w14:solidFill>
          </w14:textFill>
        </w:rPr>
      </w:pPr>
      <w:bookmarkStart w:id="64" w:name="page91"/>
      <w:bookmarkEnd w:id="64"/>
      <w:bookmarkStart w:id="65" w:name="_Toc27298"/>
      <w:bookmarkStart w:id="66" w:name="_Toc21883"/>
      <w:r>
        <w:rPr>
          <w:rFonts w:hint="eastAsia"/>
          <w:color w:val="000000" w:themeColor="text1"/>
          <w:highlight w:val="none"/>
          <w14:textFill>
            <w14:solidFill>
              <w14:schemeClr w14:val="tx1"/>
            </w14:solidFill>
          </w14:textFill>
        </w:rPr>
        <w:t>（三）信誉证明资料</w:t>
      </w:r>
    </w:p>
    <w:p>
      <w:pPr>
        <w:adjustRightInd w:val="0"/>
        <w:snapToGrid w:val="0"/>
        <w:spacing w:line="300" w:lineRule="auto"/>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2"/>
          <w:szCs w:val="22"/>
          <w:highlight w:val="none"/>
          <w14:textFill>
            <w14:solidFill>
              <w14:schemeClr w14:val="tx1"/>
            </w14:solidFill>
          </w14:textFill>
        </w:rPr>
        <w:t>1、信用中国官网（www.creditchina.gov.cn）相关查询结果的截图。</w:t>
      </w:r>
      <w:bookmarkEnd w:id="65"/>
      <w:bookmarkEnd w:id="66"/>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pPr>
    </w:p>
    <w:p>
      <w:pPr>
        <w:pStyle w:val="11"/>
        <w:rPr>
          <w:color w:val="000000" w:themeColor="text1"/>
          <w:highlight w:val="none"/>
          <w14:textFill>
            <w14:solidFill>
              <w14:schemeClr w14:val="tx1"/>
            </w14:solidFill>
          </w14:textFill>
        </w:rPr>
        <w:sectPr>
          <w:headerReference r:id="rId19" w:type="default"/>
          <w:footerReference r:id="rId20" w:type="default"/>
          <w:pgSz w:w="11906" w:h="16838"/>
          <w:pgMar w:top="1417" w:right="1417" w:bottom="1417" w:left="1417" w:header="850" w:footer="850" w:gutter="0"/>
          <w:cols w:space="720" w:num="1"/>
          <w:docGrid w:linePitch="326" w:charSpace="0"/>
        </w:sectPr>
      </w:pPr>
    </w:p>
    <w:p>
      <w:pPr>
        <w:pStyle w:val="6"/>
        <w:rPr>
          <w:color w:val="000000" w:themeColor="text1"/>
          <w:highlight w:val="none"/>
          <w14:textFill>
            <w14:solidFill>
              <w14:schemeClr w14:val="tx1"/>
            </w14:solidFill>
          </w14:textFill>
        </w:rPr>
      </w:pPr>
      <w:bookmarkStart w:id="67" w:name="_Toc16524"/>
      <w:bookmarkStart w:id="68" w:name="_Toc18229"/>
      <w:r>
        <w:rPr>
          <w:rFonts w:hint="eastAsia"/>
          <w:color w:val="000000" w:themeColor="text1"/>
          <w:highlight w:val="none"/>
          <w14:textFill>
            <w14:solidFill>
              <w14:schemeClr w14:val="tx1"/>
            </w14:solidFill>
          </w14:textFill>
        </w:rPr>
        <w:t>六、</w:t>
      </w:r>
      <w:bookmarkEnd w:id="67"/>
      <w:bookmarkEnd w:id="68"/>
      <w:bookmarkStart w:id="69" w:name="_Toc29685"/>
      <w:bookmarkStart w:id="70" w:name="_Toc19595"/>
      <w:r>
        <w:rPr>
          <w:rFonts w:hint="eastAsia"/>
          <w:color w:val="000000" w:themeColor="text1"/>
          <w:highlight w:val="none"/>
          <w14:textFill>
            <w14:solidFill>
              <w14:schemeClr w14:val="tx1"/>
            </w14:solidFill>
          </w14:textFill>
        </w:rPr>
        <w:t>其他资料</w:t>
      </w:r>
      <w:bookmarkEnd w:id="69"/>
      <w:bookmarkEnd w:id="70"/>
      <w:r>
        <w:rPr>
          <w:rFonts w:hint="eastAsia"/>
          <w:color w:val="000000" w:themeColor="text1"/>
          <w:highlight w:val="none"/>
          <w14:textFill>
            <w14:solidFill>
              <w14:schemeClr w14:val="tx1"/>
            </w14:solidFill>
          </w14:textFill>
        </w:rPr>
        <w:t>(如有）</w:t>
      </w:r>
    </w:p>
    <w:p>
      <w:pPr>
        <w:rPr>
          <w:color w:val="000000" w:themeColor="text1"/>
          <w:highlight w:val="none"/>
          <w14:textFill>
            <w14:solidFill>
              <w14:schemeClr w14:val="tx1"/>
            </w14:solidFill>
          </w14:textFill>
        </w:rPr>
      </w:pPr>
    </w:p>
    <w:p>
      <w:pPr>
        <w:adjustRightInd w:val="0"/>
        <w:snapToGrid w:val="0"/>
        <w:spacing w:line="300" w:lineRule="auto"/>
        <w:ind w:firstLine="440" w:firstLineChars="200"/>
        <w:jc w:val="center"/>
        <w:rPr>
          <w:rFonts w:ascii="宋体" w:hAnsi="宋体" w:cs="宋体"/>
          <w:color w:val="000000" w:themeColor="text1"/>
          <w:sz w:val="22"/>
          <w:szCs w:val="22"/>
          <w:highlight w:val="none"/>
          <w14:textFill>
            <w14:solidFill>
              <w14:schemeClr w14:val="tx1"/>
            </w14:solidFill>
          </w14:textFill>
        </w:rPr>
      </w:pPr>
      <w:bookmarkStart w:id="71" w:name="_Toc32090"/>
      <w:r>
        <w:rPr>
          <w:rFonts w:hint="eastAsia" w:ascii="宋体" w:hAnsi="宋体" w:cs="宋体"/>
          <w:color w:val="000000" w:themeColor="text1"/>
          <w:sz w:val="22"/>
          <w:szCs w:val="22"/>
          <w:highlight w:val="none"/>
          <w14:textFill>
            <w14:solidFill>
              <w14:schemeClr w14:val="tx1"/>
            </w14:solidFill>
          </w14:textFill>
        </w:rPr>
        <w:t>竞标人认为需提供的其他资料。</w:t>
      </w:r>
      <w:bookmarkEnd w:id="71"/>
    </w:p>
    <w:p>
      <w:pPr>
        <w:spacing w:line="360" w:lineRule="auto"/>
        <w:rPr>
          <w:rFonts w:ascii="方正小标宋简体" w:hAnsi="方正小标宋简体" w:eastAsia="方正小标宋简体" w:cs="方正小标宋简体"/>
          <w:color w:val="000000" w:themeColor="text1"/>
          <w:sz w:val="36"/>
          <w:szCs w:val="36"/>
          <w:highlight w:val="none"/>
          <w14:textFill>
            <w14:solidFill>
              <w14:schemeClr w14:val="tx1"/>
            </w14:solidFill>
          </w14:textFill>
        </w:rPr>
      </w:pPr>
    </w:p>
    <w:p>
      <w:pPr>
        <w:spacing w:line="360" w:lineRule="auto"/>
        <w:rPr>
          <w:rFonts w:ascii="方正小标宋简体" w:hAnsi="方正小标宋简体" w:eastAsia="方正小标宋简体" w:cs="方正小标宋简体"/>
          <w:color w:val="000000" w:themeColor="text1"/>
          <w:sz w:val="36"/>
          <w:szCs w:val="36"/>
          <w:highlight w:val="none"/>
          <w14:textFill>
            <w14:solidFill>
              <w14:schemeClr w14:val="tx1"/>
            </w14:solidFill>
          </w14:textFill>
        </w:rPr>
      </w:pPr>
    </w:p>
    <w:p>
      <w:pPr>
        <w:rPr>
          <w:color w:val="000000" w:themeColor="text1"/>
          <w:highlight w:val="none"/>
          <w14:textFill>
            <w14:solidFill>
              <w14:schemeClr w14:val="tx1"/>
            </w14:solidFill>
          </w14:textFill>
        </w:rPr>
      </w:pPr>
    </w:p>
    <w:sectPr>
      <w:headerReference r:id="rId21" w:type="default"/>
      <w:pgSz w:w="11906" w:h="16838"/>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w41qwBAABNAwAADgAAAGRycy9lMm9Eb2MueG1srVPNjtMwEL4j8Q6W&#10;7zTZaoW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nYw41qwBAABNAwAA&#10;DgAAAAAAAAABACAAAAAeAQAAZHJzL2Uyb0RvYy54bWxQSwUGAAAAAAYABgBZAQAAP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lang w:val="zh-CN"/>
      </w:rPr>
      <w:t>45</w: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v/ZcawBAABNAwAADgAAAGRycy9lMm9Eb2MueG1srVPNjtMwEL4j8Q6W&#10;7zTZroS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Kv/ZcawBAABNAwAA&#10;DgAAAAAAAAABACAAAAAeAQAAZHJzL2Uyb0RvYy54bWxQSwUGAAAAAAYABgBZAQAAP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N7bTBqwEAAE0DAAAO&#10;AAAAAAAAAAEAIAAAAB4BAABkcnMvZTJvRG9jLnhtbFBLBQYAAAAABgAGAFkBAAA7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Cl3XLKqwEAAE0DAAAO&#10;AAAAAAAAAAEAIAAAAB4BAABkcnMvZTJvRG9jLnhtbFBLBQYAAAAABgAGAFkBAAA7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VZqwBAABNAwAADgAAAGRycy9lMm9Eb2MueG1srVPNjtMwEL4j8Q6W&#10;7zTZSou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p5VZqwBAABNAwAA&#10;DgAAAAAAAAABACAAAAAeAQAAZHJzL2Uyb0RvYy54bWxQSwUGAAAAAAYABgBZAQAAPA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26</w:t>
    </w:r>
    <w:r>
      <w:fldChar w:fldCharType="end"/>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ASrpNtqwEAAE0DAAAO&#10;AAAAAAAAAAEAIAAAAB4BAABkcnMvZTJvRG9jLnhtbFBLBQYAAAAABgAGAFkBAAA7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47</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A9TyD5qwEAAE0DAAAO&#10;AAAAAAAAAAEAIAAAAB4BAABkcnMvZTJvRG9jLnhtbFBLBQYAAAAABgAGAFkBAAA7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47</w:t>
                    </w:r>
                    <w:r>
                      <w:rPr>
                        <w:rFonts w:hint="eastAsia"/>
                        <w:sz w:val="18"/>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安徽省驿达高速公路服务区经营管理有限公司2017年度商务车和轿车采购                                         招标文件</w:t>
    </w:r>
  </w:p>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0"/>
        <w:szCs w:val="20"/>
      </w:rPr>
    </w:pPr>
    <w:r>
      <w:rPr>
        <w:rFonts w:hint="eastAsia" w:ascii="方正小标宋简体" w:hAnsi="宋体" w:eastAsia="方正小标宋简体"/>
        <w:bCs/>
        <w:sz w:val="44"/>
        <w:szCs w:val="44"/>
      </w:rPr>
      <w:t>2018年度安徽省驿达高速公路服务区经营管理有限公司服务区厨具采购安装项目</w:t>
    </w:r>
    <w:r>
      <w:rPr>
        <w:rFonts w:hint="eastAsia"/>
        <w:sz w:val="20"/>
        <w:szCs w:val="20"/>
      </w:rPr>
      <w:t xml:space="preserve">      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7"/>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B6BB04"/>
    <w:multiLevelType w:val="singleLevel"/>
    <w:tmpl w:val="D5B6BB04"/>
    <w:lvl w:ilvl="0" w:tentative="0">
      <w:start w:val="5"/>
      <w:numFmt w:val="chineseCounting"/>
      <w:suff w:val="space"/>
      <w:lvlText w:val="第%1章"/>
      <w:lvlJc w:val="left"/>
      <w:rPr>
        <w:rFonts w:hint="eastAsia"/>
      </w:rPr>
    </w:lvl>
  </w:abstractNum>
  <w:abstractNum w:abstractNumId="1">
    <w:nsid w:val="3F932651"/>
    <w:multiLevelType w:val="multilevel"/>
    <w:tmpl w:val="3F9326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5B614D"/>
    <w:multiLevelType w:val="singleLevel"/>
    <w:tmpl w:val="585B614D"/>
    <w:lvl w:ilvl="0" w:tentative="0">
      <w:start w:val="1"/>
      <w:numFmt w:val="chineseCounting"/>
      <w:suff w:val="nothing"/>
      <w:lvlText w:val="%1、"/>
      <w:lvlJc w:val="left"/>
    </w:lvl>
  </w:abstractNum>
  <w:abstractNum w:abstractNumId="3">
    <w:nsid w:val="5A01272B"/>
    <w:multiLevelType w:val="singleLevel"/>
    <w:tmpl w:val="5A01272B"/>
    <w:lvl w:ilvl="0" w:tentative="0">
      <w:start w:val="1"/>
      <w:numFmt w:val="chineseCounting"/>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3D4FA7"/>
    <w:rsid w:val="0004364D"/>
    <w:rsid w:val="000A6402"/>
    <w:rsid w:val="00145447"/>
    <w:rsid w:val="00206A10"/>
    <w:rsid w:val="00206D91"/>
    <w:rsid w:val="00282206"/>
    <w:rsid w:val="002C4CFE"/>
    <w:rsid w:val="003169A6"/>
    <w:rsid w:val="003745AA"/>
    <w:rsid w:val="00383A43"/>
    <w:rsid w:val="00395055"/>
    <w:rsid w:val="003A02E1"/>
    <w:rsid w:val="00443EBA"/>
    <w:rsid w:val="004E77AF"/>
    <w:rsid w:val="00572311"/>
    <w:rsid w:val="005C223C"/>
    <w:rsid w:val="00653A2C"/>
    <w:rsid w:val="0069385C"/>
    <w:rsid w:val="006E4460"/>
    <w:rsid w:val="007113F8"/>
    <w:rsid w:val="0075244D"/>
    <w:rsid w:val="007902BB"/>
    <w:rsid w:val="007E63D5"/>
    <w:rsid w:val="008800D7"/>
    <w:rsid w:val="008C556F"/>
    <w:rsid w:val="008E3030"/>
    <w:rsid w:val="00944217"/>
    <w:rsid w:val="009E526F"/>
    <w:rsid w:val="00A23707"/>
    <w:rsid w:val="00A41DAD"/>
    <w:rsid w:val="00A46877"/>
    <w:rsid w:val="00AE63BE"/>
    <w:rsid w:val="00B95745"/>
    <w:rsid w:val="00C00360"/>
    <w:rsid w:val="00C4395D"/>
    <w:rsid w:val="00CB21B0"/>
    <w:rsid w:val="00CD1D18"/>
    <w:rsid w:val="00CD79C5"/>
    <w:rsid w:val="00CE238E"/>
    <w:rsid w:val="00CF17EF"/>
    <w:rsid w:val="00DD1D32"/>
    <w:rsid w:val="00E92C3F"/>
    <w:rsid w:val="00ED6EFD"/>
    <w:rsid w:val="00EE33BA"/>
    <w:rsid w:val="00FA680E"/>
    <w:rsid w:val="00FF76A8"/>
    <w:rsid w:val="032415A2"/>
    <w:rsid w:val="036C0DD7"/>
    <w:rsid w:val="03F86AC9"/>
    <w:rsid w:val="06667CF9"/>
    <w:rsid w:val="074F44DE"/>
    <w:rsid w:val="076A38D6"/>
    <w:rsid w:val="087E521E"/>
    <w:rsid w:val="08AC21B4"/>
    <w:rsid w:val="08D174DD"/>
    <w:rsid w:val="09BF1E8D"/>
    <w:rsid w:val="09E225FE"/>
    <w:rsid w:val="0A47373D"/>
    <w:rsid w:val="0B707518"/>
    <w:rsid w:val="0C5D5A64"/>
    <w:rsid w:val="0E6015B2"/>
    <w:rsid w:val="107477CB"/>
    <w:rsid w:val="12286403"/>
    <w:rsid w:val="130B0C89"/>
    <w:rsid w:val="136A20A3"/>
    <w:rsid w:val="13D015BE"/>
    <w:rsid w:val="15921793"/>
    <w:rsid w:val="15C87134"/>
    <w:rsid w:val="15D922A3"/>
    <w:rsid w:val="16C503D3"/>
    <w:rsid w:val="187816FE"/>
    <w:rsid w:val="187B34DA"/>
    <w:rsid w:val="1AD00B5A"/>
    <w:rsid w:val="1AF7454A"/>
    <w:rsid w:val="1BCE280F"/>
    <w:rsid w:val="1CCB6AB9"/>
    <w:rsid w:val="1D135D1A"/>
    <w:rsid w:val="1E5E537E"/>
    <w:rsid w:val="1E9752AF"/>
    <w:rsid w:val="1EAA4839"/>
    <w:rsid w:val="203B67B7"/>
    <w:rsid w:val="2075450C"/>
    <w:rsid w:val="213427CF"/>
    <w:rsid w:val="22B97F8C"/>
    <w:rsid w:val="22E4500F"/>
    <w:rsid w:val="24D778C7"/>
    <w:rsid w:val="265C54A3"/>
    <w:rsid w:val="26E107AD"/>
    <w:rsid w:val="2BF9697F"/>
    <w:rsid w:val="2D3053B6"/>
    <w:rsid w:val="2D4A680F"/>
    <w:rsid w:val="2D731D66"/>
    <w:rsid w:val="30015F7C"/>
    <w:rsid w:val="31F658ED"/>
    <w:rsid w:val="35D941C8"/>
    <w:rsid w:val="35DC0F1C"/>
    <w:rsid w:val="36A329BA"/>
    <w:rsid w:val="36B2638C"/>
    <w:rsid w:val="37682133"/>
    <w:rsid w:val="3A6118DE"/>
    <w:rsid w:val="3AA31A56"/>
    <w:rsid w:val="3B963C3A"/>
    <w:rsid w:val="3C2F12F5"/>
    <w:rsid w:val="3C8F1F43"/>
    <w:rsid w:val="3CFF4166"/>
    <w:rsid w:val="3E0A3FF7"/>
    <w:rsid w:val="40117C7D"/>
    <w:rsid w:val="40C70E9F"/>
    <w:rsid w:val="40E523F8"/>
    <w:rsid w:val="41175F1A"/>
    <w:rsid w:val="41DA1067"/>
    <w:rsid w:val="43580278"/>
    <w:rsid w:val="443D4FA7"/>
    <w:rsid w:val="44CA2DC1"/>
    <w:rsid w:val="44E040C1"/>
    <w:rsid w:val="456F46B5"/>
    <w:rsid w:val="45BD29AF"/>
    <w:rsid w:val="471046C8"/>
    <w:rsid w:val="477E1550"/>
    <w:rsid w:val="4A962331"/>
    <w:rsid w:val="4C0721D7"/>
    <w:rsid w:val="4C124C7A"/>
    <w:rsid w:val="4C895633"/>
    <w:rsid w:val="4D1502EC"/>
    <w:rsid w:val="4D646BCF"/>
    <w:rsid w:val="4EB12216"/>
    <w:rsid w:val="52E7352B"/>
    <w:rsid w:val="550F51AF"/>
    <w:rsid w:val="56973BCC"/>
    <w:rsid w:val="58874C36"/>
    <w:rsid w:val="58DA7729"/>
    <w:rsid w:val="59D022CE"/>
    <w:rsid w:val="5ACF403F"/>
    <w:rsid w:val="5C4B578E"/>
    <w:rsid w:val="5F8904B5"/>
    <w:rsid w:val="5FF479CA"/>
    <w:rsid w:val="60994D80"/>
    <w:rsid w:val="60F439C4"/>
    <w:rsid w:val="61682303"/>
    <w:rsid w:val="62D72341"/>
    <w:rsid w:val="690C0DCF"/>
    <w:rsid w:val="692D34DA"/>
    <w:rsid w:val="692E0BC5"/>
    <w:rsid w:val="69955549"/>
    <w:rsid w:val="6A2E447E"/>
    <w:rsid w:val="6A8D104F"/>
    <w:rsid w:val="6BA30769"/>
    <w:rsid w:val="6C353791"/>
    <w:rsid w:val="6C5C64A0"/>
    <w:rsid w:val="6C7A0A09"/>
    <w:rsid w:val="6CA21A61"/>
    <w:rsid w:val="6D8F0CE4"/>
    <w:rsid w:val="6DAF2D69"/>
    <w:rsid w:val="6F5F4840"/>
    <w:rsid w:val="6F6C2C5C"/>
    <w:rsid w:val="6FCD66BD"/>
    <w:rsid w:val="70442756"/>
    <w:rsid w:val="70992865"/>
    <w:rsid w:val="717D1360"/>
    <w:rsid w:val="758F6323"/>
    <w:rsid w:val="77285FC7"/>
    <w:rsid w:val="780B69EC"/>
    <w:rsid w:val="789006EB"/>
    <w:rsid w:val="7947193F"/>
    <w:rsid w:val="797D55FA"/>
    <w:rsid w:val="7CD32AE4"/>
    <w:rsid w:val="7CE93E04"/>
    <w:rsid w:val="7DC1703D"/>
    <w:rsid w:val="7F394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kern w:val="2"/>
      <w:sz w:val="24"/>
      <w:szCs w:val="24"/>
      <w:lang w:val="en-US" w:eastAsia="zh-CN" w:bidi="ar-SA"/>
    </w:rPr>
  </w:style>
  <w:style w:type="paragraph" w:styleId="5">
    <w:name w:val="heading 1"/>
    <w:basedOn w:val="1"/>
    <w:next w:val="1"/>
    <w:qFormat/>
    <w:uiPriority w:val="0"/>
    <w:pPr>
      <w:keepNext/>
      <w:keepLines/>
      <w:spacing w:before="240" w:after="240" w:line="600" w:lineRule="exact"/>
      <w:jc w:val="center"/>
      <w:outlineLvl w:val="0"/>
    </w:pPr>
    <w:rPr>
      <w:rFonts w:ascii="Times New Roman" w:hAnsi="Times New Roman" w:eastAsia="方正小标宋简体"/>
      <w:bCs/>
      <w:kern w:val="44"/>
      <w:sz w:val="44"/>
      <w:szCs w:val="44"/>
    </w:rPr>
  </w:style>
  <w:style w:type="paragraph" w:styleId="6">
    <w:name w:val="heading 2"/>
    <w:basedOn w:val="1"/>
    <w:next w:val="1"/>
    <w:link w:val="39"/>
    <w:qFormat/>
    <w:uiPriority w:val="0"/>
    <w:pPr>
      <w:keepNext/>
      <w:keepLines/>
      <w:spacing w:line="360" w:lineRule="exact"/>
      <w:jc w:val="center"/>
      <w:outlineLvl w:val="1"/>
    </w:pPr>
    <w:rPr>
      <w:rFonts w:ascii="Arial" w:hAnsi="Arial" w:eastAsia="黑体"/>
      <w:bCs/>
      <w:sz w:val="32"/>
      <w:szCs w:val="32"/>
    </w:rPr>
  </w:style>
  <w:style w:type="paragraph" w:styleId="7">
    <w:name w:val="heading 3"/>
    <w:basedOn w:val="1"/>
    <w:next w:val="8"/>
    <w:qFormat/>
    <w:uiPriority w:val="0"/>
    <w:pPr>
      <w:keepNext/>
      <w:keepLines/>
      <w:spacing w:before="260" w:after="260" w:line="416" w:lineRule="auto"/>
      <w:jc w:val="center"/>
      <w:outlineLvl w:val="2"/>
    </w:pPr>
    <w:rPr>
      <w:rFonts w:ascii="宋体" w:hAnsi="宋体"/>
      <w:bCs/>
      <w:sz w:val="28"/>
      <w:szCs w:val="32"/>
    </w:rPr>
  </w:style>
  <w:style w:type="paragraph" w:styleId="9">
    <w:name w:val="heading 4"/>
    <w:basedOn w:val="1"/>
    <w:next w:val="1"/>
    <w:qFormat/>
    <w:uiPriority w:val="0"/>
    <w:pPr>
      <w:keepNext/>
      <w:keepLines/>
      <w:spacing w:before="280" w:after="290" w:line="376" w:lineRule="auto"/>
      <w:jc w:val="center"/>
      <w:outlineLvl w:val="3"/>
    </w:pPr>
    <w:rPr>
      <w:rFonts w:ascii="Arial" w:hAnsi="Arial"/>
      <w:bCs/>
      <w:szCs w:val="28"/>
    </w:rPr>
  </w:style>
  <w:style w:type="paragraph" w:styleId="10">
    <w:name w:val="heading 5"/>
    <w:basedOn w:val="1"/>
    <w:next w:val="1"/>
    <w:qFormat/>
    <w:uiPriority w:val="0"/>
    <w:pPr>
      <w:keepNext/>
      <w:outlineLvl w:val="4"/>
    </w:pPr>
    <w:rPr>
      <w:rFonts w:ascii="宋体" w:hAnsi="Arial"/>
      <w:bCs/>
      <w:sz w:val="28"/>
      <w:szCs w:val="2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left="420" w:leftChars="200" w:firstLine="420" w:firstLineChars="200"/>
    </w:pPr>
    <w:rPr>
      <w:rFonts w:ascii="宋体"/>
    </w:rPr>
  </w:style>
  <w:style w:type="paragraph" w:styleId="3">
    <w:name w:val="Body Text Indent"/>
    <w:basedOn w:val="1"/>
    <w:next w:val="4"/>
    <w:qFormat/>
    <w:uiPriority w:val="0"/>
    <w:pPr>
      <w:spacing w:line="360" w:lineRule="auto"/>
      <w:ind w:left="435"/>
    </w:pPr>
    <w:rPr>
      <w:rFonts w:ascii="Times New Roman" w:hAnsi="Times New Roman"/>
      <w:kern w:val="0"/>
      <w:szCs w:val="20"/>
    </w:rPr>
  </w:style>
  <w:style w:type="paragraph" w:styleId="4">
    <w:name w:val="envelope return"/>
    <w:basedOn w:val="1"/>
    <w:qFormat/>
    <w:uiPriority w:val="0"/>
    <w:pPr>
      <w:snapToGrid w:val="0"/>
    </w:pPr>
    <w:rPr>
      <w:rFonts w:ascii="Arial" w:hAnsi="Arial"/>
      <w:szCs w:val="20"/>
    </w:rPr>
  </w:style>
  <w:style w:type="paragraph" w:styleId="8">
    <w:name w:val="Normal Indent"/>
    <w:basedOn w:val="1"/>
    <w:unhideWhenUsed/>
    <w:qFormat/>
    <w:uiPriority w:val="0"/>
    <w:pPr>
      <w:ind w:firstLine="420" w:firstLineChars="200"/>
    </w:pPr>
  </w:style>
  <w:style w:type="paragraph" w:styleId="11">
    <w:name w:val="Body Text"/>
    <w:basedOn w:val="1"/>
    <w:qFormat/>
    <w:uiPriority w:val="0"/>
    <w:rPr>
      <w:rFonts w:ascii="宋体" w:hAnsi="Arial"/>
      <w:sz w:val="28"/>
      <w:szCs w:val="20"/>
    </w:rPr>
  </w:style>
  <w:style w:type="paragraph" w:styleId="12">
    <w:name w:val="Plain Text"/>
    <w:basedOn w:val="1"/>
    <w:qFormat/>
    <w:uiPriority w:val="99"/>
    <w:rPr>
      <w:rFonts w:ascii="宋体" w:hAnsi="Courier New"/>
      <w:kern w:val="0"/>
      <w:sz w:val="21"/>
      <w:szCs w:val="20"/>
    </w:rPr>
  </w:style>
  <w:style w:type="paragraph" w:styleId="13">
    <w:name w:val="footer"/>
    <w:basedOn w:val="1"/>
    <w:qFormat/>
    <w:uiPriority w:val="0"/>
    <w:pPr>
      <w:tabs>
        <w:tab w:val="center" w:pos="4153"/>
        <w:tab w:val="right" w:pos="8306"/>
      </w:tabs>
      <w:snapToGrid w:val="0"/>
    </w:pPr>
    <w:rPr>
      <w:rFonts w:ascii="Times New Roman" w:hAnsi="Times New Roman"/>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20"/>
    </w:rPr>
  </w:style>
  <w:style w:type="paragraph" w:styleId="15">
    <w:name w:val="toc 1"/>
    <w:basedOn w:val="1"/>
    <w:next w:val="1"/>
    <w:qFormat/>
    <w:uiPriority w:val="39"/>
    <w:pPr>
      <w:spacing w:before="120" w:after="120"/>
      <w:jc w:val="center"/>
    </w:pPr>
    <w:rPr>
      <w:b/>
      <w:bCs/>
      <w:caps/>
      <w:sz w:val="20"/>
      <w:szCs w:val="20"/>
    </w:rPr>
  </w:style>
  <w:style w:type="paragraph" w:styleId="16">
    <w:name w:val="Body Text Indent 3"/>
    <w:basedOn w:val="1"/>
    <w:qFormat/>
    <w:uiPriority w:val="0"/>
    <w:pPr>
      <w:ind w:firstLine="645"/>
    </w:pPr>
    <w:rPr>
      <w:rFonts w:ascii="仿宋_GB2312" w:hAnsi="Arial" w:eastAsia="仿宋_GB2312"/>
      <w:color w:val="000000"/>
      <w:sz w:val="30"/>
      <w:szCs w:val="20"/>
    </w:rPr>
  </w:style>
  <w:style w:type="paragraph" w:styleId="17">
    <w:name w:val="Normal (Web)"/>
    <w:basedOn w:val="1"/>
    <w:qFormat/>
    <w:uiPriority w:val="0"/>
    <w:pPr>
      <w:widowControl/>
      <w:spacing w:before="100" w:beforeAutospacing="1" w:after="100" w:afterAutospacing="1"/>
    </w:pPr>
    <w:rPr>
      <w:rFonts w:ascii="宋体" w:hAnsi="宋体"/>
      <w:kern w:val="0"/>
    </w:rPr>
  </w:style>
  <w:style w:type="paragraph" w:styleId="18">
    <w:name w:val="index 1"/>
    <w:basedOn w:val="1"/>
    <w:next w:val="1"/>
    <w:qFormat/>
    <w:uiPriority w:val="0"/>
    <w:pPr>
      <w:spacing w:line="220" w:lineRule="exact"/>
      <w:jc w:val="center"/>
    </w:pPr>
    <w:rPr>
      <w:rFonts w:ascii="仿宋_GB2312" w:hAnsi="宋体" w:eastAsia="仿宋_GB2312"/>
      <w:kern w:val="0"/>
      <w:sz w:val="21"/>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qFormat/>
    <w:uiPriority w:val="0"/>
    <w:rPr>
      <w:rFonts w:cs="Times New Roman"/>
    </w:rPr>
  </w:style>
  <w:style w:type="character" w:styleId="23">
    <w:name w:val="Hyperlink"/>
    <w:qFormat/>
    <w:uiPriority w:val="99"/>
    <w:rPr>
      <w:rFonts w:ascii="Arial" w:hAnsi="Arial" w:cs="Times New Roman"/>
      <w:color w:val="000000"/>
      <w:sz w:val="32"/>
    </w:rPr>
  </w:style>
  <w:style w:type="paragraph" w:customStyle="1" w:styleId="24">
    <w:name w:val="WPSOffice手动目录 1"/>
    <w:qFormat/>
    <w:uiPriority w:val="0"/>
    <w:rPr>
      <w:rFonts w:ascii="Times New Roman" w:hAnsi="Times New Roman" w:eastAsia="宋体" w:cs="Times New Roman"/>
      <w:lang w:val="en-US" w:eastAsia="zh-CN" w:bidi="ar-SA"/>
    </w:rPr>
  </w:style>
  <w:style w:type="character" w:customStyle="1" w:styleId="25">
    <w:name w:val="font121"/>
    <w:qFormat/>
    <w:uiPriority w:val="0"/>
    <w:rPr>
      <w:rFonts w:hint="default" w:ascii="Calibri" w:hAnsi="Calibri" w:cs="Calibri"/>
      <w:color w:val="000000"/>
      <w:sz w:val="24"/>
      <w:szCs w:val="24"/>
      <w:u w:val="none"/>
    </w:rPr>
  </w:style>
  <w:style w:type="character" w:customStyle="1" w:styleId="26">
    <w:name w:val="font71"/>
    <w:qFormat/>
    <w:uiPriority w:val="0"/>
    <w:rPr>
      <w:rFonts w:hint="default" w:ascii="Calibri" w:hAnsi="Calibri" w:cs="Calibri"/>
      <w:color w:val="000000"/>
      <w:sz w:val="24"/>
      <w:szCs w:val="24"/>
      <w:u w:val="single"/>
    </w:rPr>
  </w:style>
  <w:style w:type="character" w:customStyle="1" w:styleId="27">
    <w:name w:val="font91"/>
    <w:qFormat/>
    <w:uiPriority w:val="0"/>
    <w:rPr>
      <w:rFonts w:hint="eastAsia" w:ascii="宋体" w:hAnsi="宋体" w:eastAsia="宋体" w:cs="宋体"/>
      <w:color w:val="000000"/>
      <w:sz w:val="21"/>
      <w:szCs w:val="21"/>
      <w:u w:val="none"/>
    </w:rPr>
  </w:style>
  <w:style w:type="character" w:customStyle="1" w:styleId="28">
    <w:name w:val="font81"/>
    <w:qFormat/>
    <w:uiPriority w:val="0"/>
    <w:rPr>
      <w:rFonts w:hint="default" w:ascii="Times New Roman" w:hAnsi="Times New Roman" w:cs="Times New Roman"/>
      <w:color w:val="000000"/>
      <w:sz w:val="21"/>
      <w:szCs w:val="21"/>
      <w:u w:val="single"/>
    </w:rPr>
  </w:style>
  <w:style w:type="character" w:customStyle="1" w:styleId="29">
    <w:name w:val="font131"/>
    <w:qFormat/>
    <w:uiPriority w:val="0"/>
    <w:rPr>
      <w:rFonts w:hint="default" w:ascii="Times New Roman" w:hAnsi="Times New Roman" w:cs="Times New Roman"/>
      <w:color w:val="000000"/>
      <w:sz w:val="21"/>
      <w:szCs w:val="21"/>
      <w:u w:val="none"/>
    </w:rPr>
  </w:style>
  <w:style w:type="character" w:customStyle="1" w:styleId="30">
    <w:name w:val="font41"/>
    <w:qFormat/>
    <w:uiPriority w:val="0"/>
    <w:rPr>
      <w:rFonts w:hint="eastAsia" w:ascii="宋体" w:hAnsi="宋体" w:eastAsia="宋体" w:cs="宋体"/>
      <w:color w:val="000000"/>
      <w:sz w:val="24"/>
      <w:szCs w:val="24"/>
      <w:u w:val="none"/>
    </w:rPr>
  </w:style>
  <w:style w:type="character" w:customStyle="1" w:styleId="31">
    <w:name w:val="font112"/>
    <w:qFormat/>
    <w:uiPriority w:val="0"/>
    <w:rPr>
      <w:rFonts w:hint="eastAsia" w:ascii="宋体" w:hAnsi="宋体" w:eastAsia="宋体" w:cs="宋体"/>
      <w:b/>
      <w:color w:val="000000"/>
      <w:sz w:val="24"/>
      <w:szCs w:val="24"/>
      <w:u w:val="none"/>
    </w:rPr>
  </w:style>
  <w:style w:type="character" w:customStyle="1" w:styleId="32">
    <w:name w:val="font21"/>
    <w:qFormat/>
    <w:uiPriority w:val="0"/>
    <w:rPr>
      <w:rFonts w:hint="default" w:ascii="Calibri" w:hAnsi="Calibri" w:cs="Calibri"/>
      <w:b/>
      <w:color w:val="000000"/>
      <w:sz w:val="24"/>
      <w:szCs w:val="24"/>
      <w:u w:val="none"/>
    </w:rPr>
  </w:style>
  <w:style w:type="character" w:customStyle="1" w:styleId="33">
    <w:name w:val="font51"/>
    <w:qFormat/>
    <w:uiPriority w:val="0"/>
    <w:rPr>
      <w:rFonts w:hint="default" w:ascii="Calibri" w:hAnsi="Calibri" w:cs="Calibri"/>
      <w:b/>
      <w:color w:val="000000"/>
      <w:sz w:val="24"/>
      <w:szCs w:val="24"/>
      <w:u w:val="single"/>
    </w:rPr>
  </w:style>
  <w:style w:type="paragraph" w:customStyle="1" w:styleId="34">
    <w:name w:val="Table Paragraph"/>
    <w:basedOn w:val="1"/>
    <w:qFormat/>
    <w:uiPriority w:val="1"/>
    <w:rPr>
      <w:rFonts w:ascii="宋体" w:hAnsi="宋体" w:cs="宋体"/>
      <w:lang w:val="zh-CN" w:bidi="zh-CN"/>
    </w:rPr>
  </w:style>
  <w:style w:type="paragraph" w:customStyle="1" w:styleId="35">
    <w:name w:val="正文 题目"/>
    <w:basedOn w:val="1"/>
    <w:qFormat/>
    <w:uiPriority w:val="0"/>
    <w:pPr>
      <w:spacing w:line="360" w:lineRule="auto"/>
      <w:jc w:val="center"/>
    </w:pPr>
    <w:rPr>
      <w:rFonts w:ascii="黑体" w:hAnsi="黑体" w:eastAsia="黑体"/>
      <w:sz w:val="28"/>
    </w:rPr>
  </w:style>
  <w:style w:type="paragraph" w:customStyle="1" w:styleId="36">
    <w:name w:val="表格"/>
    <w:basedOn w:val="1"/>
    <w:qFormat/>
    <w:uiPriority w:val="0"/>
    <w:pPr>
      <w:jc w:val="center"/>
    </w:pPr>
    <w:rPr>
      <w:rFonts w:ascii="宋体" w:hAnsi="宋体"/>
    </w:rPr>
  </w:style>
  <w:style w:type="paragraph" w:customStyle="1" w:styleId="37">
    <w:name w:val="样式 标题 2 + Times New Roman 四号 非加粗 段前: 5 磅 段后: 0 磅 行距: 固定值 20..."/>
    <w:basedOn w:val="6"/>
    <w:qFormat/>
    <w:uiPriority w:val="0"/>
    <w:pPr>
      <w:adjustRightInd w:val="0"/>
      <w:spacing w:before="100" w:line="400" w:lineRule="exact"/>
      <w:jc w:val="left"/>
      <w:textAlignment w:val="baseline"/>
    </w:pPr>
    <w:rPr>
      <w:rFonts w:ascii="Times New Roman" w:hAnsi="Times New Roman" w:eastAsia="宋体" w:cs="宋体"/>
      <w:bCs w:val="0"/>
      <w:sz w:val="28"/>
      <w:szCs w:val="20"/>
    </w:rPr>
  </w:style>
  <w:style w:type="paragraph" w:customStyle="1" w:styleId="38">
    <w:name w:val="正文1"/>
    <w:qFormat/>
    <w:uiPriority w:val="0"/>
    <w:pPr>
      <w:widowControl w:val="0"/>
      <w:adjustRightInd w:val="0"/>
      <w:spacing w:line="312" w:lineRule="atLeast"/>
      <w:jc w:val="both"/>
    </w:pPr>
    <w:rPr>
      <w:rFonts w:hint="eastAsia" w:ascii="宋体" w:hAnsi="Times New Roman" w:eastAsia="宋体" w:cs="Times New Roman"/>
      <w:sz w:val="24"/>
      <w:lang w:val="en-US" w:eastAsia="zh-CN" w:bidi="ar-SA"/>
    </w:rPr>
  </w:style>
  <w:style w:type="character" w:customStyle="1" w:styleId="39">
    <w:name w:val="标题 2 Char"/>
    <w:link w:val="6"/>
    <w:qFormat/>
    <w:uiPriority w:val="0"/>
    <w:rPr>
      <w:rFonts w:ascii="Arial" w:hAnsi="Arial" w:eastAsia="黑体"/>
      <w:bCs/>
      <w:sz w:val="32"/>
      <w:szCs w:val="32"/>
    </w:rPr>
  </w:style>
  <w:style w:type="character" w:customStyle="1" w:styleId="40">
    <w:name w:val="font61"/>
    <w:basedOn w:val="2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header" Target="header4.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footer" Target="footer2.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1.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8" Type="http://schemas.openxmlformats.org/officeDocument/2006/relationships/fontTable" Target="fontTable.xml"/><Relationship Id="rId117" Type="http://schemas.openxmlformats.org/officeDocument/2006/relationships/customXml" Target="../customXml/item2.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footer" Target="footer4.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9B00E-36CD-428B-9F32-707FC781938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4491</Words>
  <Characters>25605</Characters>
  <Lines>213</Lines>
  <Paragraphs>60</Paragraphs>
  <TotalTime>3</TotalTime>
  <ScaleCrop>false</ScaleCrop>
  <LinksUpToDate>false</LinksUpToDate>
  <CharactersWithSpaces>30036</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2019-08-12T09:11:00Z</dcterms:created>
  <dc:creator>胡国清</dc:creator>
  <cp:lastModifiedBy>小白</cp:lastModifiedBy>
  <dcterms:modified xsi:type="dcterms:W3CDTF">2019-11-05T01:19:41Z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