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5520"/>
        </w:tabs>
        <w:adjustRightInd w:val="0"/>
        <w:snapToGrid w:val="0"/>
        <w:spacing w:line="288" w:lineRule="auto"/>
        <w:jc w:val="center"/>
        <w:rPr>
          <w:rFonts w:hAnsi="宋体" w:cs="宋体"/>
          <w:color w:val="000000" w:themeColor="text1"/>
          <w:sz w:val="44"/>
          <w:szCs w:val="44"/>
          <w:highlight w:val="none"/>
          <w14:textFill>
            <w14:solidFill>
              <w14:schemeClr w14:val="tx1"/>
            </w14:solidFill>
          </w14:textFill>
        </w:rPr>
      </w:pPr>
    </w:p>
    <w:p>
      <w:pPr>
        <w:spacing w:line="360" w:lineRule="auto"/>
        <w:jc w:val="center"/>
        <w:rPr>
          <w:rFonts w:hint="eastAsia" w:ascii="宋体" w:hAnsi="宋体" w:cs="宋体"/>
          <w:color w:val="000000" w:themeColor="text1"/>
          <w:sz w:val="44"/>
          <w:szCs w:val="44"/>
          <w:highlight w:val="none"/>
          <w:lang w:eastAsia="zh-CN"/>
          <w14:textFill>
            <w14:solidFill>
              <w14:schemeClr w14:val="tx1"/>
            </w14:solidFill>
          </w14:textFill>
        </w:rPr>
      </w:pPr>
      <w:r>
        <w:rPr>
          <w:rFonts w:hint="eastAsia" w:ascii="宋体" w:hAnsi="宋体" w:cs="宋体"/>
          <w:color w:val="000000" w:themeColor="text1"/>
          <w:sz w:val="44"/>
          <w:szCs w:val="44"/>
          <w:highlight w:val="none"/>
          <w:lang w:eastAsia="zh-CN"/>
          <w14:textFill>
            <w14:solidFill>
              <w14:schemeClr w14:val="tx1"/>
            </w14:solidFill>
          </w14:textFill>
        </w:rPr>
        <w:t xml:space="preserve"> 驿达公司服务区商用电开水器采购安装</w:t>
      </w:r>
    </w:p>
    <w:p>
      <w:pPr>
        <w:spacing w:line="360" w:lineRule="auto"/>
        <w:jc w:val="center"/>
        <w:rPr>
          <w:rFonts w:hint="eastAsia" w:ascii="宋体" w:hAnsi="宋体" w:cs="宋体"/>
          <w:color w:val="000000" w:themeColor="text1"/>
          <w:sz w:val="44"/>
          <w:szCs w:val="44"/>
          <w:highlight w:val="none"/>
          <w:lang w:eastAsia="zh-CN"/>
          <w14:textFill>
            <w14:solidFill>
              <w14:schemeClr w14:val="tx1"/>
            </w14:solidFill>
          </w14:textFill>
        </w:rPr>
      </w:pPr>
      <w:r>
        <w:rPr>
          <w:rFonts w:hint="eastAsia" w:ascii="宋体" w:hAnsi="宋体" w:cs="宋体"/>
          <w:color w:val="000000" w:themeColor="text1"/>
          <w:sz w:val="44"/>
          <w:szCs w:val="44"/>
          <w:highlight w:val="none"/>
          <w:lang w:eastAsia="zh-CN"/>
          <w14:textFill>
            <w14:solidFill>
              <w14:schemeClr w14:val="tx1"/>
            </w14:solidFill>
          </w14:textFill>
        </w:rPr>
        <w:t>项目(二次)</w:t>
      </w:r>
    </w:p>
    <w:p>
      <w:pPr>
        <w:pStyle w:val="10"/>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p>
    <w:p>
      <w:pPr>
        <w:pStyle w:val="10"/>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p>
    <w:p>
      <w:pPr>
        <w:pStyle w:val="10"/>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p>
    <w:p>
      <w:pPr>
        <w:pStyle w:val="10"/>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10"/>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10"/>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文</w:t>
      </w:r>
    </w:p>
    <w:p>
      <w:pPr>
        <w:pStyle w:val="10"/>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件</w:t>
      </w:r>
    </w:p>
    <w:p>
      <w:pPr>
        <w:pStyle w:val="10"/>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10"/>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10"/>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10"/>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采购人：安徽省驿达高速公路服务区经营管理有限公司  </w:t>
      </w:r>
    </w:p>
    <w:p>
      <w:pPr>
        <w:adjustRightInd w:val="0"/>
        <w:snapToGrid w:val="0"/>
        <w:spacing w:line="288" w:lineRule="auto"/>
        <w:jc w:val="center"/>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32"/>
          <w:szCs w:val="32"/>
          <w:highlight w:val="none"/>
          <w14:textFill>
            <w14:solidFill>
              <w14:schemeClr w14:val="tx1"/>
            </w14:solidFill>
          </w14:textFill>
        </w:rPr>
        <w:sectPr>
          <w:headerReference r:id="rId5" w:type="first"/>
          <w:footerReference r:id="rId8" w:type="first"/>
          <w:headerReference r:id="rId4" w:type="default"/>
          <w:footerReference r:id="rId6" w:type="default"/>
          <w:footerReference r:id="rId7" w:type="even"/>
          <w:pgSz w:w="11849" w:h="16781"/>
          <w:pgMar w:top="1134" w:right="1134" w:bottom="1134" w:left="1134" w:header="850" w:footer="992" w:gutter="0"/>
          <w:cols w:space="720" w:num="1"/>
          <w:titlePg/>
          <w:docGrid w:type="lines" w:linePitch="330" w:charSpace="0"/>
        </w:sectPr>
      </w:pPr>
      <w:r>
        <w:rPr>
          <w:rFonts w:hint="eastAsia" w:ascii="宋体" w:hAnsi="宋体" w:cs="宋体"/>
          <w:color w:val="000000" w:themeColor="text1"/>
          <w:sz w:val="32"/>
          <w:szCs w:val="32"/>
          <w:highlight w:val="none"/>
          <w14:textFill>
            <w14:solidFill>
              <w14:schemeClr w14:val="tx1"/>
            </w14:solidFill>
          </w14:textFill>
        </w:rPr>
        <w:t>二〇二〇年</w:t>
      </w:r>
      <w:r>
        <w:rPr>
          <w:rFonts w:hint="eastAsia" w:ascii="宋体" w:hAnsi="宋体" w:cs="宋体"/>
          <w:color w:val="000000" w:themeColor="text1"/>
          <w:sz w:val="32"/>
          <w:szCs w:val="32"/>
          <w:highlight w:val="none"/>
          <w:u w:val="single"/>
          <w14:textFill>
            <w14:solidFill>
              <w14:schemeClr w14:val="tx1"/>
            </w14:solidFill>
          </w14:textFill>
        </w:rPr>
        <w:t xml:space="preserve"> 四 </w:t>
      </w:r>
      <w:r>
        <w:rPr>
          <w:rFonts w:hint="eastAsia" w:ascii="宋体" w:hAnsi="宋体" w:cs="宋体"/>
          <w:color w:val="000000" w:themeColor="text1"/>
          <w:sz w:val="32"/>
          <w:szCs w:val="32"/>
          <w:highlight w:val="none"/>
          <w14:textFill>
            <w14:solidFill>
              <w14:schemeClr w14:val="tx1"/>
            </w14:solidFill>
          </w14:textFill>
        </w:rPr>
        <w:t>月</w:t>
      </w:r>
    </w:p>
    <w:p>
      <w:pPr>
        <w:adjustRightInd w:val="0"/>
        <w:snapToGrid w:val="0"/>
        <w:spacing w:line="288" w:lineRule="auto"/>
        <w:jc w:val="center"/>
        <w:rPr>
          <w:rFonts w:ascii="宋体" w:hAnsi="宋体" w:cs="宋体"/>
          <w:b/>
          <w:bCs/>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pPr>
        <w:adjustRightInd w:val="0"/>
        <w:snapToGrid w:val="0"/>
        <w:spacing w:line="288" w:lineRule="auto"/>
        <w:jc w:val="center"/>
        <w:rPr>
          <w:rFonts w:ascii="宋体" w:hAnsi="宋体" w:cs="宋体"/>
          <w:color w:val="000000" w:themeColor="text1"/>
          <w:highlight w:val="none"/>
          <w14:textFill>
            <w14:solidFill>
              <w14:schemeClr w14:val="tx1"/>
            </w14:solidFill>
          </w14:textFill>
        </w:rPr>
      </w:pPr>
      <w:bookmarkStart w:id="0" w:name="_Toc189369358"/>
    </w:p>
    <w:bookmarkEnd w:id="0"/>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bookmarkStart w:id="1" w:name="_Toc4759"/>
      <w:bookmarkStart w:id="2" w:name="_Toc15229"/>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TOC \o "1-1" \h \u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"_Toc10815"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第一章  询比公告</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_Toc10815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"_Toc7319"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第二章  评审方法(综合评分法)</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_Toc7319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"_Toc2302"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第三章  合同条款及格式</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_Toc2302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"_Toc27176"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44"/>
          <w:sz w:val="24"/>
          <w:szCs w:val="24"/>
          <w:highlight w:val="none"/>
          <w14:textFill>
            <w14:solidFill>
              <w14:schemeClr w14:val="tx1"/>
            </w14:solidFill>
          </w14:textFill>
        </w:rPr>
        <w:t>第四章  采购需求</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_Toc27176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"_Toc11084"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第五章  响应文件格式</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_Toc11084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25</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20"/>
        <w:tabs>
          <w:tab w:val="right" w:leader="dot" w:pos="9582"/>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sectPr>
          <w:headerReference r:id="rId10" w:type="first"/>
          <w:footerReference r:id="rId12" w:type="first"/>
          <w:headerReference r:id="rId9" w:type="default"/>
          <w:footerReference r:id="rId11" w:type="default"/>
          <w:pgSz w:w="11849" w:h="16781"/>
          <w:pgMar w:top="1134" w:right="1134" w:bottom="1134" w:left="1134" w:header="850" w:footer="992" w:gutter="0"/>
          <w:cols w:space="720" w:num="1"/>
          <w:titlePg/>
          <w:docGrid w:type="lines" w:linePitch="330" w:charSpace="0"/>
        </w:sectPr>
      </w:pPr>
      <w:r>
        <w:rPr>
          <w:rFonts w:hint="eastAsia" w:ascii="宋体" w:hAnsi="宋体" w:cs="宋体"/>
          <w:color w:val="000000" w:themeColor="text1"/>
          <w:sz w:val="24"/>
          <w:szCs w:val="24"/>
          <w:highlight w:val="none"/>
          <w14:textFill>
            <w14:solidFill>
              <w14:schemeClr w14:val="tx1"/>
            </w14:solidFill>
          </w14:textFill>
        </w:rPr>
        <w:fldChar w:fldCharType="end"/>
      </w:r>
    </w:p>
    <w:p>
      <w:pPr>
        <w:pStyle w:val="5"/>
        <w:adjustRightInd w:val="0"/>
        <w:snapToGrid w:val="0"/>
        <w:spacing w:before="0" w:after="0" w:line="288" w:lineRule="auto"/>
        <w:rPr>
          <w:rFonts w:ascii="宋体" w:hAnsi="宋体" w:eastAsia="宋体" w:cs="宋体"/>
          <w:color w:val="000000" w:themeColor="text1"/>
          <w:highlight w:val="none"/>
          <w14:textFill>
            <w14:solidFill>
              <w14:schemeClr w14:val="tx1"/>
            </w14:solidFill>
          </w14:textFill>
        </w:rPr>
      </w:pPr>
      <w:bookmarkStart w:id="3" w:name="_Toc27829"/>
      <w:bookmarkStart w:id="4" w:name="_Toc17968"/>
      <w:bookmarkStart w:id="5" w:name="_Toc10815"/>
      <w:r>
        <w:rPr>
          <w:rFonts w:hint="eastAsia" w:ascii="宋体" w:hAnsi="宋体" w:eastAsia="宋体" w:cs="宋体"/>
          <w:color w:val="000000" w:themeColor="text1"/>
          <w:highlight w:val="none"/>
          <w14:textFill>
            <w14:solidFill>
              <w14:schemeClr w14:val="tx1"/>
            </w14:solidFill>
          </w14:textFill>
        </w:rPr>
        <w:t xml:space="preserve">第一章  </w:t>
      </w:r>
      <w:bookmarkEnd w:id="1"/>
      <w:bookmarkEnd w:id="2"/>
      <w:r>
        <w:rPr>
          <w:rFonts w:hint="eastAsia" w:ascii="宋体" w:hAnsi="宋体" w:eastAsia="宋体" w:cs="宋体"/>
          <w:color w:val="000000" w:themeColor="text1"/>
          <w:highlight w:val="none"/>
          <w14:textFill>
            <w14:solidFill>
              <w14:schemeClr w14:val="tx1"/>
            </w14:solidFill>
          </w14:textFill>
        </w:rPr>
        <w:t>询比公告</w:t>
      </w:r>
      <w:bookmarkEnd w:id="3"/>
      <w:bookmarkEnd w:id="4"/>
      <w:bookmarkEnd w:id="5"/>
    </w:p>
    <w:p>
      <w:pPr>
        <w:adjustRightInd w:val="0"/>
        <w:snapToGrid w:val="0"/>
        <w:spacing w:line="288" w:lineRule="auto"/>
        <w:jc w:val="center"/>
        <w:rPr>
          <w:rFonts w:ascii="宋体" w:hAnsi="宋体" w:cs="宋体"/>
          <w:bCs/>
          <w:color w:val="000000" w:themeColor="text1"/>
          <w:sz w:val="44"/>
          <w:szCs w:val="44"/>
          <w:highlight w:val="none"/>
          <w14:textFill>
            <w14:solidFill>
              <w14:schemeClr w14:val="tx1"/>
            </w14:solidFill>
          </w14:textFill>
        </w:rPr>
      </w:pPr>
      <w:bookmarkStart w:id="6" w:name="_Toc92015764"/>
      <w:bookmarkStart w:id="7" w:name="_Toc90105636"/>
      <w:bookmarkStart w:id="8" w:name="_Toc90104554"/>
      <w:bookmarkStart w:id="9" w:name="_Toc89848282"/>
      <w:bookmarkStart w:id="10" w:name="_Toc90106003"/>
      <w:bookmarkStart w:id="11" w:name="_Toc90105822"/>
      <w:bookmarkStart w:id="12" w:name="_Toc90106822"/>
      <w:bookmarkStart w:id="13" w:name="_Toc90105449"/>
      <w:bookmarkStart w:id="14" w:name="_Toc90105261"/>
      <w:bookmarkStart w:id="15" w:name="_Toc90106184"/>
      <w:bookmarkStart w:id="16" w:name="_Toc90105072"/>
      <w:bookmarkStart w:id="17" w:name="_Toc90106641"/>
      <w:r>
        <w:rPr>
          <w:rFonts w:hint="eastAsia" w:ascii="宋体" w:hAnsi="宋体" w:cs="宋体"/>
          <w:color w:val="000000" w:themeColor="text1"/>
          <w:sz w:val="44"/>
          <w:szCs w:val="44"/>
          <w:highlight w:val="none"/>
          <w14:textFill>
            <w14:solidFill>
              <w14:schemeClr w14:val="tx1"/>
            </w14:solidFill>
          </w14:textFill>
        </w:rPr>
        <w:t xml:space="preserve">   </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本项目“</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u w:val="single"/>
          <w:lang w:eastAsia="zh-CN"/>
          <w14:textFill>
            <w14:solidFill>
              <w14:schemeClr w14:val="tx1"/>
            </w14:solidFill>
          </w14:textFill>
        </w:rPr>
        <w:t>驿达公司服务区商用电开水器采购安装项目（</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二次</w:t>
      </w:r>
      <w:r>
        <w:rPr>
          <w:rFonts w:hint="eastAsia" w:ascii="宋体" w:hAnsi="宋体" w:cs="宋体"/>
          <w:color w:val="000000" w:themeColor="text1"/>
          <w:kern w:val="0"/>
          <w:sz w:val="32"/>
          <w:szCs w:val="32"/>
          <w:highlight w:val="none"/>
          <w:u w:val="single"/>
          <w:lang w:eastAsia="zh-CN"/>
          <w14:textFill>
            <w14:solidFill>
              <w14:schemeClr w14:val="tx1"/>
            </w14:solidFill>
          </w14:textFill>
        </w:rPr>
        <w:t>）</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”已列入</w:t>
      </w:r>
      <w:bookmarkStart w:id="43" w:name="_GoBack"/>
      <w:bookmarkEnd w:id="43"/>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2020</w:t>
      </w:r>
      <w:r>
        <w:rPr>
          <w:rFonts w:hint="eastAsia" w:ascii="宋体" w:hAnsi="宋体" w:cs="宋体"/>
          <w:color w:val="000000" w:themeColor="text1"/>
          <w:kern w:val="0"/>
          <w:sz w:val="32"/>
          <w:szCs w:val="32"/>
          <w:highlight w:val="none"/>
          <w14:textFill>
            <w14:solidFill>
              <w14:schemeClr w14:val="tx1"/>
            </w14:solidFill>
          </w14:textFill>
        </w:rPr>
        <w:t>年度采购计划,项目资金已落实，采购人为</w:t>
      </w:r>
      <w:r>
        <w:rPr>
          <w:rFonts w:hint="eastAsia" w:ascii="宋体" w:hAnsi="宋体" w:cs="宋体"/>
          <w:color w:val="000000" w:themeColor="text1"/>
          <w:kern w:val="0"/>
          <w:sz w:val="32"/>
          <w:szCs w:val="32"/>
          <w:highlight w:val="none"/>
          <w:u w:val="single"/>
          <w14:textFill>
            <w14:solidFill>
              <w14:schemeClr w14:val="tx1"/>
            </w14:solidFill>
          </w14:textFill>
        </w:rPr>
        <w:t xml:space="preserve"> 安徽省驿达高速公路服务区经营管理有限公司  </w:t>
      </w:r>
      <w:r>
        <w:rPr>
          <w:rFonts w:hint="eastAsia" w:ascii="宋体" w:hAnsi="宋体" w:cs="宋体"/>
          <w:color w:val="000000" w:themeColor="text1"/>
          <w:kern w:val="0"/>
          <w:sz w:val="32"/>
          <w:szCs w:val="32"/>
          <w:highlight w:val="none"/>
          <w14:textFill>
            <w14:solidFill>
              <w14:schemeClr w14:val="tx1"/>
            </w14:solidFill>
          </w14:textFill>
        </w:rPr>
        <w:t>。现对“</w:t>
      </w:r>
      <w:r>
        <w:rPr>
          <w:rFonts w:hint="eastAsia" w:ascii="宋体" w:hAnsi="宋体" w:cs="宋体"/>
          <w:color w:val="000000" w:themeColor="text1"/>
          <w:kern w:val="0"/>
          <w:sz w:val="32"/>
          <w:szCs w:val="32"/>
          <w:highlight w:val="none"/>
          <w:u w:val="single"/>
          <w:lang w:eastAsia="zh-CN"/>
          <w14:textFill>
            <w14:solidFill>
              <w14:schemeClr w14:val="tx1"/>
            </w14:solidFill>
          </w14:textFill>
        </w:rPr>
        <w:t>驿达公司服务区商用电开水器采购安装项目（</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二次</w:t>
      </w:r>
      <w:r>
        <w:rPr>
          <w:rFonts w:hint="eastAsia" w:ascii="宋体" w:hAnsi="宋体" w:cs="宋体"/>
          <w:color w:val="000000" w:themeColor="text1"/>
          <w:kern w:val="0"/>
          <w:sz w:val="32"/>
          <w:szCs w:val="32"/>
          <w:highlight w:val="none"/>
          <w:u w:val="single"/>
          <w:lang w:eastAsia="zh-CN"/>
          <w14:textFill>
            <w14:solidFill>
              <w14:schemeClr w14:val="tx1"/>
            </w14:solidFill>
          </w14:textFill>
        </w:rPr>
        <w:t>）</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”进行公开询比采购，欢迎符合条件的供应商参加。</w:t>
      </w:r>
    </w:p>
    <w:p>
      <w:pPr>
        <w:widowControl/>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一、项目概况</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1.项目名称：</w:t>
      </w:r>
      <w:r>
        <w:rPr>
          <w:rFonts w:hint="eastAsia" w:ascii="宋体" w:hAnsi="宋体" w:cs="宋体"/>
          <w:color w:val="000000" w:themeColor="text1"/>
          <w:kern w:val="0"/>
          <w:sz w:val="32"/>
          <w:szCs w:val="32"/>
          <w:highlight w:val="none"/>
          <w:lang w:eastAsia="zh-CN"/>
          <w14:textFill>
            <w14:solidFill>
              <w14:schemeClr w14:val="tx1"/>
            </w14:solidFill>
          </w14:textFill>
        </w:rPr>
        <w:t>驿达公司服务区商用电开水器采购安装项目（</w:t>
      </w:r>
      <w:r>
        <w:rPr>
          <w:rFonts w:hint="eastAsia" w:ascii="宋体" w:hAnsi="宋体" w:cs="宋体"/>
          <w:color w:val="000000" w:themeColor="text1"/>
          <w:kern w:val="0"/>
          <w:sz w:val="32"/>
          <w:szCs w:val="32"/>
          <w:highlight w:val="none"/>
          <w:lang w:val="en-US" w:eastAsia="zh-CN"/>
          <w14:textFill>
            <w14:solidFill>
              <w14:schemeClr w14:val="tx1"/>
            </w14:solidFill>
          </w14:textFill>
        </w:rPr>
        <w:t>二次</w:t>
      </w:r>
      <w:r>
        <w:rPr>
          <w:rFonts w:hint="eastAsia" w:ascii="宋体" w:hAnsi="宋体" w:cs="宋体"/>
          <w:color w:val="000000" w:themeColor="text1"/>
          <w:kern w:val="0"/>
          <w:sz w:val="32"/>
          <w:szCs w:val="32"/>
          <w:highlight w:val="none"/>
          <w:lang w:eastAsia="zh-CN"/>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 xml:space="preserve"> </w:t>
      </w:r>
    </w:p>
    <w:p>
      <w:pPr>
        <w:widowControl/>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2.供货地点：驿达公司所辖太白、广德、符离、三角元、四方湖等15对服务区。</w:t>
      </w:r>
    </w:p>
    <w:p>
      <w:pPr>
        <w:widowControl/>
        <w:adjustRightInd w:val="0"/>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3.采购内容：为进一步提升服务区司乘人员的服务，保障服务区在客流高峰期开水的正常供应，根据服务区实际需求，计划统一配置安装节能型连续式开水器、阻垢机。</w:t>
      </w:r>
    </w:p>
    <w:p>
      <w:pPr>
        <w:widowControl/>
        <w:adjustRightInd w:val="0"/>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4.最高限价：189万元 </w:t>
      </w:r>
    </w:p>
    <w:p>
      <w:pPr>
        <w:widowControl/>
        <w:adjustRightInd w:val="0"/>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5.采购类别：货物 </w:t>
      </w:r>
    </w:p>
    <w:p>
      <w:pPr>
        <w:widowControl/>
        <w:adjustRightInd w:val="0"/>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6.标段划分：1个标段</w:t>
      </w:r>
    </w:p>
    <w:p>
      <w:pPr>
        <w:widowControl/>
        <w:adjustRightInd w:val="0"/>
        <w:snapToGrid w:val="0"/>
        <w:spacing w:line="360" w:lineRule="auto"/>
        <w:ind w:firstLine="640"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7.供货期限：25日历天</w:t>
      </w:r>
    </w:p>
    <w:p>
      <w:pPr>
        <w:widowControl/>
        <w:tabs>
          <w:tab w:val="left" w:pos="2300"/>
          <w:tab w:val="left" w:pos="5660"/>
        </w:tabs>
        <w:adjustRightInd w:val="0"/>
        <w:snapToGrid w:val="0"/>
        <w:spacing w:line="288" w:lineRule="auto"/>
        <w:ind w:firstLine="643" w:firstLineChars="200"/>
        <w:jc w:val="both"/>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二、资格最低要求</w:t>
      </w:r>
    </w:p>
    <w:p>
      <w:pPr>
        <w:widowControl/>
        <w:adjustRightInd w:val="0"/>
        <w:snapToGrid w:val="0"/>
        <w:spacing w:line="360" w:lineRule="auto"/>
        <w:ind w:firstLine="640" w:firstLineChars="200"/>
        <w:rPr>
          <w:rFonts w:hint="eastAsia"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1.供应商资格要求</w:t>
      </w:r>
    </w:p>
    <w:p>
      <w:pPr>
        <w:widowControl/>
        <w:adjustRightInd w:val="0"/>
        <w:snapToGrid w:val="0"/>
        <w:spacing w:line="360" w:lineRule="auto"/>
        <w:ind w:left="638" w:leftChars="266" w:firstLine="0" w:firstLineChars="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lang w:eastAsia="zh-CN"/>
          <w14:textFill>
            <w14:solidFill>
              <w14:schemeClr w14:val="tx1"/>
            </w14:solidFill>
          </w14:textFill>
        </w:rPr>
        <w:t>（</w:t>
      </w:r>
      <w:r>
        <w:rPr>
          <w:rFonts w:hint="eastAsia" w:ascii="宋体" w:hAnsi="宋体" w:cs="宋体"/>
          <w:color w:val="000000" w:themeColor="text1"/>
          <w:kern w:val="0"/>
          <w:sz w:val="32"/>
          <w:szCs w:val="32"/>
          <w:highlight w:val="none"/>
          <w:lang w:val="en-US" w:eastAsia="zh-CN"/>
          <w14:textFill>
            <w14:solidFill>
              <w14:schemeClr w14:val="tx1"/>
            </w14:solidFill>
          </w14:textFill>
        </w:rPr>
        <w:t>1</w:t>
      </w:r>
      <w:r>
        <w:rPr>
          <w:rFonts w:hint="eastAsia" w:ascii="宋体" w:hAnsi="宋体" w:cs="宋体"/>
          <w:color w:val="000000" w:themeColor="text1"/>
          <w:kern w:val="0"/>
          <w:sz w:val="32"/>
          <w:szCs w:val="32"/>
          <w:highlight w:val="none"/>
          <w:lang w:eastAsia="zh-CN"/>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 xml:space="preserve">应具备独立法人资格、持有有效的营业执照的供应商。                                 </w:t>
      </w:r>
      <w:r>
        <w:rPr>
          <w:rFonts w:hint="eastAsia" w:ascii="宋体" w:hAnsi="宋体" w:cs="宋体"/>
          <w:color w:val="000000" w:themeColor="text1"/>
          <w:kern w:val="0"/>
          <w:sz w:val="32"/>
          <w:szCs w:val="32"/>
          <w:highlight w:val="none"/>
          <w:lang w:eastAsia="zh-CN"/>
          <w14:textFill>
            <w14:solidFill>
              <w14:schemeClr w14:val="tx1"/>
            </w14:solidFill>
          </w14:textFill>
        </w:rPr>
        <w:t>（</w:t>
      </w:r>
      <w:r>
        <w:rPr>
          <w:rFonts w:hint="eastAsia" w:ascii="宋体" w:hAnsi="宋体" w:cs="宋体"/>
          <w:color w:val="000000" w:themeColor="text1"/>
          <w:kern w:val="0"/>
          <w:sz w:val="32"/>
          <w:szCs w:val="32"/>
          <w:highlight w:val="none"/>
          <w:lang w:val="en-US" w:eastAsia="zh-CN"/>
          <w14:textFill>
            <w14:solidFill>
              <w14:schemeClr w14:val="tx1"/>
            </w14:solidFill>
          </w14:textFill>
        </w:rPr>
        <w:t>2</w:t>
      </w:r>
      <w:r>
        <w:rPr>
          <w:rFonts w:hint="eastAsia" w:ascii="宋体" w:hAnsi="宋体" w:cs="宋体"/>
          <w:color w:val="000000" w:themeColor="text1"/>
          <w:kern w:val="0"/>
          <w:sz w:val="32"/>
          <w:szCs w:val="32"/>
          <w:highlight w:val="none"/>
          <w:lang w:eastAsia="zh-CN"/>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近三年（2017年1月1日至今）独立完成过1个单项合同金额在</w:t>
      </w:r>
      <w:r>
        <w:rPr>
          <w:rFonts w:hint="eastAsia" w:ascii="宋体" w:hAnsi="宋体" w:cs="宋体"/>
          <w:color w:val="000000" w:themeColor="text1"/>
          <w:kern w:val="0"/>
          <w:sz w:val="32"/>
          <w:szCs w:val="32"/>
          <w:highlight w:val="none"/>
          <w:lang w:eastAsia="zh-CN"/>
          <w14:textFill>
            <w14:solidFill>
              <w14:schemeClr w14:val="tx1"/>
            </w14:solidFill>
          </w14:textFill>
        </w:rPr>
        <w:t>20万元</w:t>
      </w:r>
      <w:r>
        <w:rPr>
          <w:rFonts w:hint="eastAsia" w:ascii="宋体" w:hAnsi="宋体" w:cs="宋体"/>
          <w:color w:val="000000" w:themeColor="text1"/>
          <w:kern w:val="0"/>
          <w:sz w:val="32"/>
          <w:szCs w:val="32"/>
          <w:highlight w:val="none"/>
          <w14:textFill>
            <w14:solidFill>
              <w14:schemeClr w14:val="tx1"/>
            </w14:solidFill>
          </w14:textFill>
        </w:rPr>
        <w:t>及以上的商用电开水器的供货及安装业绩。（</w:t>
      </w:r>
      <w:r>
        <w:rPr>
          <w:rFonts w:hint="eastAsia" w:ascii="宋体" w:hAnsi="宋体" w:cs="宋体"/>
          <w:color w:val="000000" w:themeColor="text1"/>
          <w:kern w:val="0"/>
          <w:sz w:val="32"/>
          <w:szCs w:val="32"/>
          <w:highlight w:val="none"/>
          <w:lang w:val="en-US" w:eastAsia="zh-CN"/>
          <w14:textFill>
            <w14:solidFill>
              <w14:schemeClr w14:val="tx1"/>
            </w14:solidFill>
          </w14:textFill>
        </w:rPr>
        <w:t>时间以合同签订时间为准</w:t>
      </w:r>
      <w:r>
        <w:rPr>
          <w:rFonts w:hint="eastAsia" w:ascii="宋体" w:hAnsi="宋体" w:cs="宋体"/>
          <w:color w:val="000000" w:themeColor="text1"/>
          <w:kern w:val="0"/>
          <w:sz w:val="32"/>
          <w:szCs w:val="32"/>
          <w:highlight w:val="none"/>
          <w14:textFill>
            <w14:solidFill>
              <w14:schemeClr w14:val="tx1"/>
            </w14:solidFill>
          </w14:textFill>
        </w:rPr>
        <w:t>）。</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2.信誉要求：</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（1）没有被责令停业，暂扣或吊销执照，或吊销资质证书；</w:t>
      </w:r>
    </w:p>
    <w:p>
      <w:pPr>
        <w:widowControl/>
        <w:numPr>
          <w:ilvl w:val="0"/>
          <w:numId w:val="1"/>
        </w:numPr>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没有进入清算程序，或被宣告破产，或其他丧失履约能力的情形；</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（3）没有在国家企业信用信息公示系统中被列入严重违法失信企业名单（http://www.gsxt.gov.cn）</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（4）没有在“信用中国”网站(http://www.creditchina.gov.cn)中被列入失信被执行人名单；</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（5）供应商法定代表人近3年（2017年1月至今）内无行贿犯罪行为记录的承诺；没有法律法规规定的其他情形。</w:t>
      </w:r>
    </w:p>
    <w:p>
      <w:pPr>
        <w:widowControl/>
        <w:tabs>
          <w:tab w:val="left" w:pos="2300"/>
          <w:tab w:val="left" w:pos="5660"/>
        </w:tabs>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t>单位负责人为同一人或者存在控股、管理关系的不同单位,不得参加同一标包或者未划分标包的同一采购项目询比；与</w:t>
      </w:r>
      <w:r>
        <w:rPr>
          <w:rFonts w:hint="eastAsia" w:ascii="宋体" w:hAnsi="宋体" w:cs="宋体"/>
          <w:color w:val="000000" w:themeColor="text1"/>
          <w:kern w:val="0"/>
          <w:sz w:val="32"/>
          <w:szCs w:val="32"/>
          <w:highlight w:val="none"/>
          <w14:textFill>
            <w14:solidFill>
              <w14:schemeClr w14:val="tx1"/>
            </w14:solidFill>
          </w14:textFill>
        </w:rPr>
        <w:t>采购</w:t>
      </w:r>
      <w:r>
        <w:rPr>
          <w:rFonts w:hint="eastAsia" w:ascii="宋体" w:hAnsi="宋体" w:cs="宋体"/>
          <w:color w:val="000000" w:themeColor="text1"/>
          <w:sz w:val="32"/>
          <w:szCs w:val="32"/>
          <w:highlight w:val="none"/>
          <w14:textFill>
            <w14:solidFill>
              <w14:schemeClr w14:val="tx1"/>
            </w14:solidFill>
          </w14:textFill>
        </w:rPr>
        <w:t>人存在利害关系可能影响</w:t>
      </w:r>
      <w:r>
        <w:rPr>
          <w:rFonts w:hint="eastAsia" w:ascii="宋体" w:hAnsi="宋体" w:cs="宋体"/>
          <w:color w:val="000000" w:themeColor="text1"/>
          <w:kern w:val="0"/>
          <w:sz w:val="32"/>
          <w:szCs w:val="32"/>
          <w:highlight w:val="none"/>
          <w14:textFill>
            <w14:solidFill>
              <w14:schemeClr w14:val="tx1"/>
            </w14:solidFill>
          </w14:textFill>
        </w:rPr>
        <w:t>询比</w:t>
      </w:r>
      <w:r>
        <w:rPr>
          <w:rFonts w:hint="eastAsia" w:ascii="宋体" w:hAnsi="宋体" w:cs="宋体"/>
          <w:color w:val="000000" w:themeColor="text1"/>
          <w:sz w:val="32"/>
          <w:szCs w:val="32"/>
          <w:highlight w:val="none"/>
          <w14:textFill>
            <w14:solidFill>
              <w14:schemeClr w14:val="tx1"/>
            </w14:solidFill>
          </w14:textFill>
        </w:rPr>
        <w:t>公正性的单位，不得参加</w:t>
      </w:r>
      <w:r>
        <w:rPr>
          <w:rFonts w:hint="eastAsia" w:ascii="宋体" w:hAnsi="宋体" w:cs="宋体"/>
          <w:color w:val="000000" w:themeColor="text1"/>
          <w:kern w:val="0"/>
          <w:sz w:val="32"/>
          <w:szCs w:val="32"/>
          <w:highlight w:val="none"/>
          <w14:textFill>
            <w14:solidFill>
              <w14:schemeClr w14:val="tx1"/>
            </w14:solidFill>
          </w14:textFill>
        </w:rPr>
        <w:t>询比</w:t>
      </w:r>
      <w:r>
        <w:rPr>
          <w:rFonts w:hint="eastAsia" w:ascii="宋体" w:hAnsi="宋体" w:cs="宋体"/>
          <w:color w:val="000000" w:themeColor="text1"/>
          <w:sz w:val="32"/>
          <w:szCs w:val="32"/>
          <w:highlight w:val="none"/>
          <w14:textFill>
            <w14:solidFill>
              <w14:schemeClr w14:val="tx1"/>
            </w14:solidFill>
          </w14:textFill>
        </w:rPr>
        <w:t>。</w:t>
      </w:r>
    </w:p>
    <w:p>
      <w:pPr>
        <w:widowControl/>
        <w:tabs>
          <w:tab w:val="left" w:pos="2300"/>
          <w:tab w:val="left" w:pos="5660"/>
        </w:tabs>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本次采购</w:t>
      </w:r>
      <w:r>
        <w:rPr>
          <w:rFonts w:hint="eastAsia" w:ascii="宋体" w:hAnsi="宋体" w:cs="宋体"/>
          <w:color w:val="000000" w:themeColor="text1"/>
          <w:kern w:val="0"/>
          <w:sz w:val="32"/>
          <w:szCs w:val="32"/>
          <w:highlight w:val="none"/>
          <w:u w:val="single"/>
          <w14:textFill>
            <w14:solidFill>
              <w14:schemeClr w14:val="tx1"/>
            </w14:solidFill>
          </w14:textFill>
        </w:rPr>
        <w:t>不接受</w:t>
      </w:r>
      <w:r>
        <w:rPr>
          <w:rFonts w:hint="eastAsia" w:ascii="宋体" w:hAnsi="宋体" w:cs="宋体"/>
          <w:color w:val="000000" w:themeColor="text1"/>
          <w:sz w:val="32"/>
          <w:szCs w:val="32"/>
          <w:highlight w:val="none"/>
          <w14:textFill>
            <w14:solidFill>
              <w14:schemeClr w14:val="tx1"/>
            </w14:solidFill>
          </w14:textFill>
        </w:rPr>
        <w:t>联合体竞标。</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三、询比文件获取时间及方式</w:t>
      </w:r>
    </w:p>
    <w:p>
      <w:pPr>
        <w:widowControl/>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凡有意向参加本项目的</w:t>
      </w:r>
      <w:r>
        <w:rPr>
          <w:rFonts w:hint="eastAsia" w:ascii="宋体" w:hAnsi="宋体" w:cs="宋体"/>
          <w:color w:val="000000" w:themeColor="text1"/>
          <w:kern w:val="0"/>
          <w:sz w:val="32"/>
          <w:szCs w:val="32"/>
          <w:highlight w:val="none"/>
          <w14:textFill>
            <w14:solidFill>
              <w14:schemeClr w14:val="tx1"/>
            </w14:solidFill>
          </w14:textFill>
        </w:rPr>
        <w:t>供应商</w:t>
      </w:r>
      <w:r>
        <w:rPr>
          <w:rFonts w:hint="eastAsia" w:ascii="宋体" w:hAnsi="宋体" w:cs="宋体"/>
          <w:color w:val="000000" w:themeColor="text1"/>
          <w:sz w:val="32"/>
          <w:szCs w:val="32"/>
          <w:highlight w:val="none"/>
          <w14:textFill>
            <w14:solidFill>
              <w14:schemeClr w14:val="tx1"/>
            </w14:solidFill>
          </w14:textFill>
        </w:rPr>
        <w:t>，可于</w:t>
      </w:r>
      <w:r>
        <w:rPr>
          <w:rFonts w:hint="eastAsia" w:ascii="宋体" w:hAnsi="宋体" w:cs="宋体"/>
          <w:color w:val="000000" w:themeColor="text1"/>
          <w:kern w:val="0"/>
          <w:sz w:val="32"/>
          <w:szCs w:val="32"/>
          <w:highlight w:val="none"/>
          <w:u w:val="single"/>
          <w14:textFill>
            <w14:solidFill>
              <w14:schemeClr w14:val="tx1"/>
            </w14:solidFill>
          </w14:textFill>
        </w:rPr>
        <w:t xml:space="preserve"> 2020 </w:t>
      </w:r>
      <w:r>
        <w:rPr>
          <w:rFonts w:hint="eastAsia" w:ascii="宋体" w:hAnsi="宋体" w:cs="宋体"/>
          <w:color w:val="000000" w:themeColor="text1"/>
          <w:kern w:val="0"/>
          <w:sz w:val="32"/>
          <w:szCs w:val="32"/>
          <w:highlight w:val="none"/>
          <w14:textFill>
            <w14:solidFill>
              <w14:schemeClr w14:val="tx1"/>
            </w14:solidFill>
          </w14:textFill>
        </w:rPr>
        <w:t>年</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ascii="宋体" w:hAnsi="宋体" w:cs="宋体"/>
          <w:color w:val="000000" w:themeColor="text1"/>
          <w:kern w:val="0"/>
          <w:sz w:val="32"/>
          <w:szCs w:val="32"/>
          <w:highlight w:val="none"/>
          <w:u w:val="single"/>
          <w14:textFill>
            <w14:solidFill>
              <w14:schemeClr w14:val="tx1"/>
            </w14:solidFill>
          </w14:textFill>
        </w:rPr>
        <w:t>4</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ascii="宋体" w:hAnsi="宋体" w:cs="宋体"/>
          <w:color w:val="000000" w:themeColor="text1"/>
          <w:kern w:val="0"/>
          <w:sz w:val="32"/>
          <w:szCs w:val="32"/>
          <w:highlight w:val="none"/>
          <w:u w:val="single"/>
          <w14:textFill>
            <w14:solidFill>
              <w14:schemeClr w14:val="tx1"/>
            </w14:solidFill>
          </w14:textFill>
        </w:rPr>
        <w:t>1</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5</w:t>
      </w:r>
      <w:r>
        <w:rPr>
          <w:rFonts w:hint="eastAsia" w:ascii="宋体" w:hAnsi="宋体" w:cs="宋体"/>
          <w:color w:val="000000" w:themeColor="text1"/>
          <w:kern w:val="0"/>
          <w:sz w:val="32"/>
          <w:szCs w:val="32"/>
          <w:highlight w:val="none"/>
          <w14:textFill>
            <w14:solidFill>
              <w14:schemeClr w14:val="tx1"/>
            </w14:solidFill>
          </w14:textFill>
        </w:rPr>
        <w:t>日起</w:t>
      </w:r>
      <w:r>
        <w:rPr>
          <w:rFonts w:hint="eastAsia" w:ascii="宋体" w:hAnsi="宋体" w:cs="宋体"/>
          <w:color w:val="000000" w:themeColor="text1"/>
          <w:sz w:val="32"/>
          <w:szCs w:val="32"/>
          <w:highlight w:val="none"/>
          <w14:textFill>
            <w14:solidFill>
              <w14:schemeClr w14:val="tx1"/>
            </w14:solidFill>
          </w14:textFill>
        </w:rPr>
        <w:t>在</w:t>
      </w:r>
      <w:r>
        <w:rPr>
          <w:rFonts w:hint="eastAsia" w:ascii="宋体" w:hAnsi="宋体" w:cs="宋体"/>
          <w:color w:val="000000" w:themeColor="text1"/>
          <w:kern w:val="0"/>
          <w:sz w:val="32"/>
          <w:szCs w:val="32"/>
          <w:highlight w:val="none"/>
          <w14:textFill>
            <w14:solidFill>
              <w14:schemeClr w14:val="tx1"/>
            </w14:solidFill>
          </w14:textFill>
        </w:rPr>
        <w:t>安徽省驿达高速公路服务区经营管理有限公司网站</w:t>
      </w:r>
      <w:r>
        <w:rPr>
          <w:rFonts w:hint="eastAsia" w:ascii="宋体" w:hAnsi="宋体" w:cs="宋体"/>
          <w:color w:val="000000" w:themeColor="text1"/>
          <w:sz w:val="32"/>
          <w:szCs w:val="32"/>
          <w:highlight w:val="none"/>
          <w14:textFill>
            <w14:solidFill>
              <w14:schemeClr w14:val="tx1"/>
            </w14:solidFill>
          </w14:textFill>
        </w:rPr>
        <w:t>自行下载询比文件。</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四、响应文件递交时间及地点</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响应文件递交的截止时间（询比截止时间）为</w:t>
      </w:r>
      <w:r>
        <w:rPr>
          <w:rFonts w:hint="eastAsia" w:ascii="宋体" w:hAnsi="宋体" w:cs="宋体"/>
          <w:color w:val="000000" w:themeColor="text1"/>
          <w:sz w:val="32"/>
          <w:szCs w:val="32"/>
          <w:highlight w:val="none"/>
          <w:u w:val="single"/>
          <w14:textFill>
            <w14:solidFill>
              <w14:schemeClr w14:val="tx1"/>
            </w14:solidFill>
          </w14:textFill>
        </w:rPr>
        <w:t xml:space="preserve"> 2020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4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ascii="宋体" w:hAnsi="宋体" w:cs="宋体"/>
          <w:color w:val="000000" w:themeColor="text1"/>
          <w:sz w:val="32"/>
          <w:szCs w:val="32"/>
          <w:highlight w:val="none"/>
          <w:u w:val="single"/>
          <w14:textFill>
            <w14:solidFill>
              <w14:schemeClr w14:val="tx1"/>
            </w14:solidFill>
          </w14:textFill>
        </w:rPr>
        <w:t>2</w:t>
      </w:r>
      <w:r>
        <w:rPr>
          <w:rFonts w:hint="eastAsia" w:ascii="宋体" w:hAnsi="宋体" w:cs="宋体"/>
          <w:color w:val="000000" w:themeColor="text1"/>
          <w:sz w:val="32"/>
          <w:szCs w:val="32"/>
          <w:highlight w:val="none"/>
          <w:u w:val="single"/>
          <w:lang w:val="en-US" w:eastAsia="zh-CN"/>
          <w14:textFill>
            <w14:solidFill>
              <w14:schemeClr w14:val="tx1"/>
            </w14:solidFill>
          </w14:textFill>
        </w:rPr>
        <w:t>2</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val="en-US" w:eastAsia="zh-CN"/>
          <w14:textFill>
            <w14:solidFill>
              <w14:schemeClr w14:val="tx1"/>
            </w14:solidFill>
          </w14:textFill>
        </w:rPr>
        <w:t>9</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时</w:t>
      </w:r>
      <w:r>
        <w:rPr>
          <w:rFonts w:hint="eastAsia" w:ascii="宋体" w:hAnsi="宋体" w:cs="宋体"/>
          <w:color w:val="000000" w:themeColor="text1"/>
          <w:kern w:val="0"/>
          <w:sz w:val="32"/>
          <w:szCs w:val="32"/>
          <w:highlight w:val="none"/>
          <w14:textFill>
            <w14:solidFill>
              <w14:schemeClr w14:val="tx1"/>
            </w14:solidFill>
          </w14:textFill>
        </w:rPr>
        <w:t>，递交地点为</w:t>
      </w:r>
      <w:r>
        <w:rPr>
          <w:rFonts w:hint="eastAsia" w:ascii="宋体" w:hAnsi="宋体" w:cs="宋体"/>
          <w:color w:val="000000" w:themeColor="text1"/>
          <w:sz w:val="28"/>
          <w:szCs w:val="28"/>
          <w:highlight w:val="none"/>
          <w:u w:val="single"/>
          <w14:textFill>
            <w14:solidFill>
              <w14:schemeClr w14:val="tx1"/>
            </w14:solidFill>
          </w14:textFill>
        </w:rPr>
        <w:t>安徽省驿达高速公路服务区经营管理有限公司</w:t>
      </w:r>
      <w:r>
        <w:rPr>
          <w:rFonts w:hint="eastAsia" w:ascii="宋体" w:hAnsi="宋体" w:cs="宋体"/>
          <w:color w:val="000000" w:themeColor="text1"/>
          <w:sz w:val="28"/>
          <w:szCs w:val="28"/>
          <w:highlight w:val="none"/>
          <w:u w:val="single"/>
          <w:lang w:val="en-US" w:eastAsia="zh-CN"/>
          <w14:textFill>
            <w14:solidFill>
              <w14:schemeClr w14:val="tx1"/>
            </w14:solidFill>
          </w14:textFill>
        </w:rPr>
        <w:t>一</w:t>
      </w:r>
      <w:r>
        <w:rPr>
          <w:rFonts w:hint="eastAsia" w:ascii="宋体" w:hAnsi="宋体" w:cs="宋体"/>
          <w:color w:val="000000" w:themeColor="text1"/>
          <w:sz w:val="28"/>
          <w:szCs w:val="28"/>
          <w:highlight w:val="none"/>
          <w:u w:val="single"/>
          <w14:textFill>
            <w14:solidFill>
              <w14:schemeClr w14:val="tx1"/>
            </w14:solidFill>
          </w14:textFill>
        </w:rPr>
        <w:t>楼会议室（安徽省合肥市望江西路520号皖通科技园内10号楼）</w:t>
      </w:r>
      <w:r>
        <w:rPr>
          <w:rFonts w:hint="eastAsia" w:ascii="宋体" w:hAnsi="宋体" w:cs="宋体"/>
          <w:color w:val="000000" w:themeColor="text1"/>
          <w:kern w:val="0"/>
          <w:sz w:val="32"/>
          <w:szCs w:val="32"/>
          <w:highlight w:val="none"/>
          <w14:textFill>
            <w14:solidFill>
              <w14:schemeClr w14:val="tx1"/>
            </w14:solidFill>
          </w14:textFill>
        </w:rPr>
        <w:t xml:space="preserve"> 。采购人定于响应文件递交截止的同一时间、同一地点举行公开开标。供应商的法定代表人或授权代理人应携带本人身份证准时参加开标会议，否则将视其默认评审结果。逾期送达的或者未送达指定地点的响应文件，采购人不予受理。</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五、联系方式</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采购人：安徽省驿达高速公路服务区经营管理有限公司</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地址：安徽省合肥市望江西路520号皖通科技园内10号楼  </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联系人：金工  徐工  </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电话： 0551-63738552  0551-65333776 </w:t>
      </w:r>
    </w:p>
    <w:p>
      <w:pPr>
        <w:pStyle w:val="9"/>
        <w:ind w:firstLine="640" w:firstLineChars="200"/>
        <w:rPr>
          <w:rFonts w:hAnsi="宋体" w:cs="宋体"/>
          <w:color w:val="000000" w:themeColor="text1"/>
          <w:kern w:val="0"/>
          <w:sz w:val="32"/>
          <w:szCs w:val="32"/>
          <w:highlight w:val="none"/>
          <w14:textFill>
            <w14:solidFill>
              <w14:schemeClr w14:val="tx1"/>
            </w14:solidFill>
          </w14:textFill>
        </w:rPr>
      </w:pPr>
      <w:r>
        <w:rPr>
          <w:rFonts w:hint="eastAsia" w:hAnsi="宋体" w:cs="宋体"/>
          <w:color w:val="000000" w:themeColor="text1"/>
          <w:kern w:val="0"/>
          <w:sz w:val="32"/>
          <w:szCs w:val="32"/>
          <w:highlight w:val="none"/>
          <w14:textFill>
            <w14:solidFill>
              <w14:schemeClr w14:val="tx1"/>
            </w14:solidFill>
          </w14:textFill>
        </w:rPr>
        <w:t>邮箱：424193901@qq.com</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六、发布公告的媒介</w:t>
      </w:r>
    </w:p>
    <w:p>
      <w:pPr>
        <w:widowControl/>
        <w:tabs>
          <w:tab w:val="left" w:pos="2300"/>
          <w:tab w:val="left" w:pos="5660"/>
        </w:tabs>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本项目询比公告在安徽省驿达高速公路服务区经营管理有限公司网站上发布。</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七、其他询比事项</w:t>
      </w:r>
    </w:p>
    <w:p>
      <w:pPr>
        <w:widowControl/>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w:t>
      </w:r>
      <w:r>
        <w:rPr>
          <w:rFonts w:hint="eastAsia" w:ascii="宋体" w:hAnsi="宋体" w:cs="宋体"/>
          <w:color w:val="000000" w:themeColor="text1"/>
          <w:sz w:val="32"/>
          <w:szCs w:val="32"/>
          <w:highlight w:val="none"/>
          <w14:textFill>
            <w14:solidFill>
              <w14:schemeClr w14:val="tx1"/>
            </w14:solidFill>
          </w14:textFill>
        </w:rPr>
        <w:t>.现场考察及标前会议</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采购人</w:t>
      </w:r>
      <w:r>
        <w:rPr>
          <w:rFonts w:hint="eastAsia" w:ascii="宋体" w:hAnsi="宋体" w:cs="宋体"/>
          <w:color w:val="000000" w:themeColor="text1"/>
          <w:kern w:val="0"/>
          <w:sz w:val="32"/>
          <w:szCs w:val="32"/>
          <w:highlight w:val="none"/>
          <w:u w:val="single"/>
          <w14:textFill>
            <w14:solidFill>
              <w14:schemeClr w14:val="tx1"/>
            </w14:solidFill>
          </w14:textFill>
        </w:rPr>
        <w:t>不组织</w:t>
      </w:r>
      <w:r>
        <w:rPr>
          <w:rFonts w:hint="eastAsia" w:ascii="宋体" w:hAnsi="宋体" w:cs="宋体"/>
          <w:color w:val="000000" w:themeColor="text1"/>
          <w:kern w:val="0"/>
          <w:sz w:val="32"/>
          <w:szCs w:val="32"/>
          <w:highlight w:val="none"/>
          <w14:textFill>
            <w14:solidFill>
              <w14:schemeClr w14:val="tx1"/>
            </w14:solidFill>
          </w14:textFill>
        </w:rPr>
        <w:t>现场考察与标前会议，</w:t>
      </w:r>
      <w:r>
        <w:rPr>
          <w:rFonts w:hint="eastAsia" w:ascii="宋体" w:hAnsi="宋体" w:cs="宋体"/>
          <w:color w:val="000000" w:themeColor="text1"/>
          <w:sz w:val="32"/>
          <w:szCs w:val="32"/>
          <w:highlight w:val="none"/>
          <w14:textFill>
            <w14:solidFill>
              <w14:schemeClr w14:val="tx1"/>
            </w14:solidFill>
          </w14:textFill>
        </w:rPr>
        <w:t>供应商</w:t>
      </w:r>
      <w:r>
        <w:rPr>
          <w:rFonts w:hint="eastAsia" w:ascii="宋体" w:hAnsi="宋体" w:cs="宋体"/>
          <w:color w:val="000000" w:themeColor="text1"/>
          <w:kern w:val="0"/>
          <w:sz w:val="32"/>
          <w:szCs w:val="32"/>
          <w:highlight w:val="none"/>
          <w14:textFill>
            <w14:solidFill>
              <w14:schemeClr w14:val="tx1"/>
            </w14:solidFill>
          </w14:textFill>
        </w:rPr>
        <w:t>可根据需要自行组织进行现场考察，现场考察期间的交通、食宿等由</w:t>
      </w:r>
      <w:r>
        <w:rPr>
          <w:rFonts w:hint="eastAsia" w:ascii="宋体" w:hAnsi="宋体" w:cs="宋体"/>
          <w:color w:val="000000" w:themeColor="text1"/>
          <w:sz w:val="32"/>
          <w:szCs w:val="32"/>
          <w:highlight w:val="none"/>
          <w14:textFill>
            <w14:solidFill>
              <w14:schemeClr w14:val="tx1"/>
            </w14:solidFill>
          </w14:textFill>
        </w:rPr>
        <w:t>供应商</w:t>
      </w:r>
      <w:r>
        <w:rPr>
          <w:rFonts w:hint="eastAsia" w:ascii="宋体" w:hAnsi="宋体" w:cs="宋体"/>
          <w:color w:val="000000" w:themeColor="text1"/>
          <w:kern w:val="0"/>
          <w:sz w:val="32"/>
          <w:szCs w:val="32"/>
          <w:highlight w:val="none"/>
          <w14:textFill>
            <w14:solidFill>
              <w14:schemeClr w14:val="tx1"/>
            </w14:solidFill>
          </w14:textFill>
        </w:rPr>
        <w:t>自行安排，费用自理。</w:t>
      </w:r>
    </w:p>
    <w:p>
      <w:pPr>
        <w:widowControl/>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2.响应文件装订及包封</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w:t>
      </w:r>
      <w:r>
        <w:rPr>
          <w:rFonts w:hint="eastAsia" w:ascii="宋体" w:hAnsi="宋体" w:cs="宋体"/>
          <w:color w:val="000000" w:themeColor="text1"/>
          <w:sz w:val="32"/>
          <w:szCs w:val="32"/>
          <w:highlight w:val="none"/>
          <w14:textFill>
            <w14:solidFill>
              <w14:schemeClr w14:val="tx1"/>
            </w14:solidFill>
          </w14:textFill>
        </w:rPr>
        <w:t>响应文件由</w:t>
      </w:r>
      <w:r>
        <w:rPr>
          <w:rFonts w:hint="eastAsia" w:ascii="宋体" w:hAnsi="宋体" w:cs="宋体"/>
          <w:color w:val="000000" w:themeColor="text1"/>
          <w:kern w:val="0"/>
          <w:sz w:val="32"/>
          <w:szCs w:val="32"/>
          <w:highlight w:val="none"/>
          <w14:textFill>
            <w14:solidFill>
              <w14:schemeClr w14:val="tx1"/>
            </w14:solidFill>
          </w14:textFill>
        </w:rPr>
        <w:t>第一个信封（</w:t>
      </w:r>
      <w:r>
        <w:rPr>
          <w:rFonts w:hint="eastAsia" w:ascii="宋体" w:hAnsi="宋体" w:cs="宋体"/>
          <w:color w:val="000000" w:themeColor="text1"/>
          <w:sz w:val="32"/>
          <w:szCs w:val="32"/>
          <w:highlight w:val="none"/>
          <w14:textFill>
            <w14:solidFill>
              <w14:schemeClr w14:val="tx1"/>
            </w14:solidFill>
          </w14:textFill>
        </w:rPr>
        <w:t>商务及技术文件</w:t>
      </w:r>
      <w:r>
        <w:rPr>
          <w:rFonts w:hint="eastAsia" w:ascii="宋体" w:hAnsi="宋体" w:cs="宋体"/>
          <w:color w:val="000000" w:themeColor="text1"/>
          <w:kern w:val="0"/>
          <w:sz w:val="32"/>
          <w:szCs w:val="32"/>
          <w:highlight w:val="none"/>
          <w14:textFill>
            <w14:solidFill>
              <w14:schemeClr w14:val="tx1"/>
            </w14:solidFill>
          </w14:textFill>
        </w:rPr>
        <w:t>）</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第二个信封（报价文件）</w:t>
      </w:r>
      <w:r>
        <w:rPr>
          <w:rFonts w:hint="eastAsia" w:ascii="宋体" w:hAnsi="宋体" w:cs="宋体"/>
          <w:color w:val="000000" w:themeColor="text1"/>
          <w:sz w:val="32"/>
          <w:szCs w:val="32"/>
          <w:highlight w:val="none"/>
          <w14:textFill>
            <w14:solidFill>
              <w14:schemeClr w14:val="tx1"/>
            </w14:solidFill>
          </w14:textFill>
        </w:rPr>
        <w:t>两部分组成。</w:t>
      </w:r>
      <w:r>
        <w:rPr>
          <w:rFonts w:hint="eastAsia" w:ascii="宋体" w:hAnsi="宋体" w:cs="宋体"/>
          <w:color w:val="000000" w:themeColor="text1"/>
          <w:kern w:val="0"/>
          <w:sz w:val="32"/>
          <w:szCs w:val="32"/>
          <w:highlight w:val="none"/>
          <w14:textFill>
            <w14:solidFill>
              <w14:schemeClr w14:val="tx1"/>
            </w14:solidFill>
          </w14:textFill>
        </w:rPr>
        <w:t>第一个信封（</w:t>
      </w:r>
      <w:r>
        <w:rPr>
          <w:rFonts w:hint="eastAsia" w:ascii="宋体" w:hAnsi="宋体" w:cs="宋体"/>
          <w:color w:val="000000" w:themeColor="text1"/>
          <w:sz w:val="32"/>
          <w:szCs w:val="32"/>
          <w:highlight w:val="none"/>
          <w14:textFill>
            <w14:solidFill>
              <w14:schemeClr w14:val="tx1"/>
            </w14:solidFill>
          </w14:textFill>
        </w:rPr>
        <w:t>商务及技术文件</w:t>
      </w:r>
      <w:r>
        <w:rPr>
          <w:rFonts w:hint="eastAsia" w:ascii="宋体" w:hAnsi="宋体" w:cs="宋体"/>
          <w:color w:val="000000" w:themeColor="text1"/>
          <w:kern w:val="0"/>
          <w:sz w:val="32"/>
          <w:szCs w:val="32"/>
          <w:highlight w:val="none"/>
          <w14:textFill>
            <w14:solidFill>
              <w14:schemeClr w14:val="tx1"/>
            </w14:solidFill>
          </w14:textFill>
        </w:rPr>
        <w:t>）</w:t>
      </w:r>
      <w:r>
        <w:rPr>
          <w:rFonts w:hint="eastAsia" w:ascii="宋体" w:hAnsi="宋体" w:cs="宋体"/>
          <w:color w:val="000000" w:themeColor="text1"/>
          <w:sz w:val="32"/>
          <w:szCs w:val="32"/>
          <w:highlight w:val="none"/>
          <w14:textFill>
            <w14:solidFill>
              <w14:schemeClr w14:val="tx1"/>
            </w14:solidFill>
          </w14:textFill>
        </w:rPr>
        <w:t>：正本1份，副本</w:t>
      </w:r>
      <w:r>
        <w:rPr>
          <w:rFonts w:hint="eastAsia" w:ascii="宋体" w:hAnsi="宋体" w:cs="宋体"/>
          <w:color w:val="000000" w:themeColor="text1"/>
          <w:sz w:val="32"/>
          <w:szCs w:val="32"/>
          <w:highlight w:val="none"/>
          <w:u w:val="single"/>
          <w14:textFill>
            <w14:solidFill>
              <w14:schemeClr w14:val="tx1"/>
            </w14:solidFill>
          </w14:textFill>
        </w:rPr>
        <w:t xml:space="preserve"> 1 </w:t>
      </w:r>
      <w:r>
        <w:rPr>
          <w:rFonts w:hint="eastAsia" w:ascii="宋体" w:hAnsi="宋体" w:cs="宋体"/>
          <w:color w:val="000000" w:themeColor="text1"/>
          <w:sz w:val="32"/>
          <w:szCs w:val="32"/>
          <w:highlight w:val="none"/>
          <w14:textFill>
            <w14:solidFill>
              <w14:schemeClr w14:val="tx1"/>
            </w14:solidFill>
          </w14:textFill>
        </w:rPr>
        <w:t>份；</w:t>
      </w:r>
      <w:r>
        <w:rPr>
          <w:rFonts w:hint="eastAsia" w:ascii="宋体" w:hAnsi="宋体" w:cs="宋体"/>
          <w:color w:val="000000" w:themeColor="text1"/>
          <w:kern w:val="0"/>
          <w:sz w:val="32"/>
          <w:szCs w:val="32"/>
          <w:highlight w:val="none"/>
          <w14:textFill>
            <w14:solidFill>
              <w14:schemeClr w14:val="tx1"/>
            </w14:solidFill>
          </w14:textFill>
        </w:rPr>
        <w:t>第二个信封（报价文件）</w:t>
      </w:r>
      <w:r>
        <w:rPr>
          <w:rFonts w:hint="eastAsia" w:ascii="宋体" w:hAnsi="宋体" w:cs="宋体"/>
          <w:color w:val="000000" w:themeColor="text1"/>
          <w:sz w:val="32"/>
          <w:szCs w:val="32"/>
          <w:highlight w:val="none"/>
          <w14:textFill>
            <w14:solidFill>
              <w14:schemeClr w14:val="tx1"/>
            </w14:solidFill>
          </w14:textFill>
        </w:rPr>
        <w:t>：正本1份，副本</w:t>
      </w:r>
      <w:r>
        <w:rPr>
          <w:rFonts w:hint="eastAsia" w:ascii="宋体" w:hAnsi="宋体" w:cs="宋体"/>
          <w:color w:val="000000" w:themeColor="text1"/>
          <w:sz w:val="32"/>
          <w:szCs w:val="32"/>
          <w:highlight w:val="none"/>
          <w:u w:val="single"/>
          <w14:textFill>
            <w14:solidFill>
              <w14:schemeClr w14:val="tx1"/>
            </w14:solidFill>
          </w14:textFill>
        </w:rPr>
        <w:t xml:space="preserve"> 1 </w:t>
      </w:r>
      <w:r>
        <w:rPr>
          <w:rFonts w:hint="eastAsia" w:ascii="宋体" w:hAnsi="宋体" w:cs="宋体"/>
          <w:color w:val="000000" w:themeColor="text1"/>
          <w:sz w:val="32"/>
          <w:szCs w:val="32"/>
          <w:highlight w:val="none"/>
          <w14:textFill>
            <w14:solidFill>
              <w14:schemeClr w14:val="tx1"/>
            </w14:solidFill>
          </w14:textFill>
        </w:rPr>
        <w:t>份。中标人签订合同时另行向采购人提供副本</w:t>
      </w:r>
      <w:r>
        <w:rPr>
          <w:rFonts w:hint="eastAsia" w:ascii="宋体" w:hAnsi="宋体" w:cs="宋体"/>
          <w:color w:val="000000" w:themeColor="text1"/>
          <w:sz w:val="32"/>
          <w:szCs w:val="32"/>
          <w:highlight w:val="none"/>
          <w:u w:val="single"/>
          <w14:textFill>
            <w14:solidFill>
              <w14:schemeClr w14:val="tx1"/>
            </w14:solidFill>
          </w14:textFill>
        </w:rPr>
        <w:t xml:space="preserve"> / </w:t>
      </w:r>
      <w:r>
        <w:rPr>
          <w:rFonts w:hint="eastAsia" w:ascii="宋体" w:hAnsi="宋体" w:cs="宋体"/>
          <w:color w:val="000000" w:themeColor="text1"/>
          <w:sz w:val="32"/>
          <w:szCs w:val="32"/>
          <w:highlight w:val="none"/>
          <w14:textFill>
            <w14:solidFill>
              <w14:schemeClr w14:val="tx1"/>
            </w14:solidFill>
          </w14:textFill>
        </w:rPr>
        <w:t>份。正本和副本的封面右上角应清楚地标记“正本”或“副本”的字样。当正本与副本不一致时，以正本为准。</w:t>
      </w:r>
      <w:r>
        <w:rPr>
          <w:rFonts w:hint="eastAsia" w:ascii="宋体" w:hAnsi="宋体" w:cs="宋体"/>
          <w:color w:val="000000" w:themeColor="text1"/>
          <w:kern w:val="0"/>
          <w:sz w:val="32"/>
          <w:szCs w:val="32"/>
          <w:highlight w:val="none"/>
          <w14:textFill>
            <w14:solidFill>
              <w14:schemeClr w14:val="tx1"/>
            </w14:solidFill>
          </w14:textFill>
        </w:rPr>
        <w:t>本次响应文件采用胶装，否则供应商应对其响应文件未胶装而导致的缺损负责。</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w:t>
      </w:r>
      <w:r>
        <w:rPr>
          <w:rFonts w:hint="eastAsia" w:ascii="宋体" w:hAnsi="宋体" w:cs="宋体"/>
          <w:color w:val="000000" w:themeColor="text1"/>
          <w:kern w:val="0"/>
          <w:sz w:val="32"/>
          <w:szCs w:val="32"/>
          <w:highlight w:val="none"/>
          <w:u w:val="double"/>
          <w14:textFill>
            <w14:solidFill>
              <w14:schemeClr w14:val="tx1"/>
            </w14:solidFill>
          </w14:textFill>
        </w:rPr>
        <w:t>第一个信封（商务及技术文件）和第二个信封（报价文件）分别装订密封</w:t>
      </w:r>
      <w:r>
        <w:rPr>
          <w:rFonts w:hint="eastAsia" w:ascii="宋体" w:hAnsi="宋体" w:cs="宋体"/>
          <w:color w:val="000000" w:themeColor="text1"/>
          <w:kern w:val="0"/>
          <w:sz w:val="32"/>
          <w:szCs w:val="32"/>
          <w:highlight w:val="none"/>
          <w14:textFill>
            <w14:solidFill>
              <w14:schemeClr w14:val="tx1"/>
            </w14:solidFill>
          </w14:textFill>
        </w:rPr>
        <w:t>，并清楚地标明“第一个信封（商务及技术文件）”、 “第二个信封（报价文件）”。第一个信封（商务及技术文件）响应文件</w:t>
      </w:r>
      <w:r>
        <w:rPr>
          <w:rFonts w:hint="eastAsia" w:ascii="宋体" w:hAnsi="宋体" w:cs="宋体"/>
          <w:color w:val="000000" w:themeColor="text1"/>
          <w:kern w:val="0"/>
          <w:sz w:val="32"/>
          <w:szCs w:val="32"/>
          <w:highlight w:val="none"/>
          <w:u w:val="double"/>
          <w14:textFill>
            <w14:solidFill>
              <w14:schemeClr w14:val="tx1"/>
            </w14:solidFill>
          </w14:textFill>
        </w:rPr>
        <w:t>单独装订成册</w:t>
      </w:r>
      <w:r>
        <w:rPr>
          <w:rFonts w:hint="eastAsia" w:ascii="宋体" w:hAnsi="宋体" w:cs="宋体"/>
          <w:color w:val="000000" w:themeColor="text1"/>
          <w:kern w:val="0"/>
          <w:sz w:val="32"/>
          <w:szCs w:val="32"/>
          <w:highlight w:val="none"/>
          <w14:textFill>
            <w14:solidFill>
              <w14:schemeClr w14:val="tx1"/>
            </w14:solidFill>
          </w14:textFill>
        </w:rPr>
        <w:t>，第二个信封（报价文件）响应文件</w:t>
      </w:r>
      <w:r>
        <w:rPr>
          <w:rFonts w:hint="eastAsia" w:ascii="宋体" w:hAnsi="宋体" w:cs="宋体"/>
          <w:color w:val="000000" w:themeColor="text1"/>
          <w:kern w:val="0"/>
          <w:sz w:val="32"/>
          <w:szCs w:val="32"/>
          <w:highlight w:val="none"/>
          <w:u w:val="double"/>
          <w14:textFill>
            <w14:solidFill>
              <w14:schemeClr w14:val="tx1"/>
            </w14:solidFill>
          </w14:textFill>
        </w:rPr>
        <w:t>单独装订成册</w:t>
      </w:r>
      <w:r>
        <w:rPr>
          <w:rFonts w:hint="eastAsia" w:ascii="宋体" w:hAnsi="宋体" w:cs="宋体"/>
          <w:color w:val="000000" w:themeColor="text1"/>
          <w:kern w:val="0"/>
          <w:sz w:val="32"/>
          <w:szCs w:val="32"/>
          <w:highlight w:val="none"/>
          <w14:textFill>
            <w14:solidFill>
              <w14:schemeClr w14:val="tx1"/>
            </w14:solidFill>
          </w14:textFill>
        </w:rPr>
        <w:t>。封套上应载明的信息：</w:t>
      </w:r>
    </w:p>
    <w:p>
      <w:pPr>
        <w:adjustRightInd w:val="0"/>
        <w:snapToGrid w:val="0"/>
        <w:spacing w:line="288"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响应文件第一个信封（商务及技术文件）</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采购人名称：</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（项目名称）第一个信封（商务及技术文件）响应文件</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在</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时</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分（询比截止时间）前不得开启</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供应商名称：</w:t>
            </w:r>
            <w:r>
              <w:rPr>
                <w:rFonts w:hint="eastAsia" w:ascii="宋体" w:hAnsi="宋体" w:cs="宋体"/>
                <w:color w:val="000000" w:themeColor="text1"/>
                <w:sz w:val="32"/>
                <w:szCs w:val="32"/>
                <w:highlight w:val="none"/>
                <w:u w:val="single"/>
                <w14:textFill>
                  <w14:solidFill>
                    <w14:schemeClr w14:val="tx1"/>
                  </w14:solidFill>
                </w14:textFill>
              </w:rPr>
              <w:t xml:space="preserve">                      </w:t>
            </w:r>
          </w:p>
        </w:tc>
      </w:tr>
    </w:tbl>
    <w:p>
      <w:pPr>
        <w:adjustRightInd w:val="0"/>
        <w:snapToGrid w:val="0"/>
        <w:spacing w:line="288"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响应文件第二个信封（报价文件）</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采购人名称：</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（项目名称）第二个信封（报价文件）响应文件</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在第一个信封（商务及技术文件）评审完成前不得开启</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供应商名称：</w:t>
            </w:r>
            <w:r>
              <w:rPr>
                <w:rFonts w:hint="eastAsia" w:ascii="宋体" w:hAnsi="宋体" w:cs="宋体"/>
                <w:color w:val="000000" w:themeColor="text1"/>
                <w:sz w:val="32"/>
                <w:szCs w:val="32"/>
                <w:highlight w:val="none"/>
                <w:u w:val="single"/>
                <w14:textFill>
                  <w14:solidFill>
                    <w14:schemeClr w14:val="tx1"/>
                  </w14:solidFill>
                </w14:textFill>
              </w:rPr>
              <w:t xml:space="preserve">                      </w:t>
            </w:r>
          </w:p>
        </w:tc>
      </w:tr>
    </w:tbl>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响应文件的正本与副本应统一密封在一个封套中，封套应密封完好，</w:t>
      </w:r>
      <w:r>
        <w:rPr>
          <w:rFonts w:hint="eastAsia" w:ascii="宋体" w:hAnsi="宋体" w:cs="宋体"/>
          <w:color w:val="000000" w:themeColor="text1"/>
          <w:kern w:val="0"/>
          <w:sz w:val="32"/>
          <w:szCs w:val="32"/>
          <w:highlight w:val="none"/>
          <w:u w:val="double"/>
          <w14:textFill>
            <w14:solidFill>
              <w14:schemeClr w14:val="tx1"/>
            </w14:solidFill>
          </w14:textFill>
        </w:rPr>
        <w:t>封套上应加盖供应商单位公章或授权代理人签字。</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响应保证金</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（1）响应保证金金额：</w:t>
      </w:r>
      <w:r>
        <w:rPr>
          <w:rFonts w:hint="eastAsia" w:ascii="宋体" w:hAnsi="宋体" w:cs="宋体"/>
          <w:color w:val="000000" w:themeColor="text1"/>
          <w:kern w:val="0"/>
          <w:sz w:val="32"/>
          <w:szCs w:val="32"/>
          <w:highlight w:val="none"/>
          <w:u w:val="single"/>
          <w14:textFill>
            <w14:solidFill>
              <w14:schemeClr w14:val="tx1"/>
            </w14:solidFill>
          </w14:textFill>
        </w:rPr>
        <w:t xml:space="preserve">  35000.00 </w:t>
      </w:r>
      <w:r>
        <w:rPr>
          <w:rFonts w:hint="eastAsia" w:ascii="宋体" w:hAnsi="宋体" w:cs="宋体"/>
          <w:color w:val="000000" w:themeColor="text1"/>
          <w:kern w:val="0"/>
          <w:sz w:val="32"/>
          <w:szCs w:val="32"/>
          <w:highlight w:val="none"/>
          <w14:textFill>
            <w14:solidFill>
              <w14:schemeClr w14:val="tx1"/>
            </w14:solidFill>
          </w14:textFill>
        </w:rPr>
        <w:t>元。</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（2）响应保证金形式：电汇（转账）。</w:t>
      </w:r>
    </w:p>
    <w:p>
      <w:pPr>
        <w:widowControl/>
        <w:adjustRightInd w:val="0"/>
        <w:snapToGrid w:val="0"/>
        <w:spacing w:line="360" w:lineRule="auto"/>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若采用电汇（转账）形式，响应保证金必须由供应商的</w:t>
      </w:r>
      <w:r>
        <w:rPr>
          <w:rFonts w:hint="eastAsia" w:ascii="宋体" w:hAnsi="宋体" w:cs="宋体"/>
          <w:color w:val="000000" w:themeColor="text1"/>
          <w:kern w:val="0"/>
          <w:sz w:val="32"/>
          <w:szCs w:val="32"/>
          <w:highlight w:val="none"/>
          <w:u w:val="double"/>
          <w14:textFill>
            <w14:solidFill>
              <w14:schemeClr w14:val="tx1"/>
            </w14:solidFill>
          </w14:textFill>
        </w:rPr>
        <w:t>基本账户</w:t>
      </w:r>
      <w:r>
        <w:rPr>
          <w:rFonts w:hint="eastAsia" w:ascii="宋体" w:hAnsi="宋体" w:cs="宋体"/>
          <w:color w:val="000000" w:themeColor="text1"/>
          <w:kern w:val="0"/>
          <w:sz w:val="32"/>
          <w:szCs w:val="32"/>
          <w:highlight w:val="none"/>
          <w14:textFill>
            <w14:solidFill>
              <w14:schemeClr w14:val="tx1"/>
            </w14:solidFill>
          </w14:textFill>
        </w:rPr>
        <w:t>一次性汇入本公告所示账户，</w:t>
      </w:r>
      <w:r>
        <w:rPr>
          <w:rFonts w:hint="eastAsia" w:ascii="仿宋" w:hAnsi="仿宋" w:eastAsia="仿宋" w:cs="仿宋"/>
          <w:b/>
          <w:color w:val="000000" w:themeColor="text1"/>
          <w:kern w:val="0"/>
          <w:sz w:val="32"/>
          <w:szCs w:val="32"/>
          <w:highlight w:val="none"/>
          <w14:textFill>
            <w14:solidFill>
              <w14:schemeClr w14:val="tx1"/>
            </w14:solidFill>
          </w14:textFill>
        </w:rPr>
        <w:t>并在本项目询比截止时间</w:t>
      </w:r>
      <w:r>
        <w:rPr>
          <w:rFonts w:ascii="仿宋" w:hAnsi="仿宋" w:eastAsia="仿宋" w:cs="仿宋"/>
          <w:b/>
          <w:color w:val="000000" w:themeColor="text1"/>
          <w:kern w:val="0"/>
          <w:sz w:val="32"/>
          <w:szCs w:val="32"/>
          <w:highlight w:val="none"/>
          <w14:textFill>
            <w14:solidFill>
              <w14:schemeClr w14:val="tx1"/>
            </w14:solidFill>
          </w14:textFill>
        </w:rPr>
        <w:t>前</w:t>
      </w:r>
      <w:r>
        <w:rPr>
          <w:rFonts w:hint="eastAsia" w:ascii="仿宋" w:hAnsi="仿宋" w:eastAsia="仿宋" w:cs="仿宋"/>
          <w:b/>
          <w:color w:val="000000" w:themeColor="text1"/>
          <w:kern w:val="0"/>
          <w:sz w:val="32"/>
          <w:szCs w:val="32"/>
          <w:highlight w:val="none"/>
          <w14:textFill>
            <w14:solidFill>
              <w14:schemeClr w14:val="tx1"/>
            </w14:solidFill>
          </w14:textFill>
        </w:rPr>
        <w:t>到账，否则视为无效</w:t>
      </w:r>
      <w:r>
        <w:rPr>
          <w:rFonts w:hint="eastAsia" w:ascii="仿宋" w:hAnsi="仿宋" w:eastAsia="仿宋" w:cs="仿宋"/>
          <w:color w:val="000000" w:themeColor="text1"/>
          <w:kern w:val="0"/>
          <w:sz w:val="32"/>
          <w:szCs w:val="32"/>
          <w:highlight w:val="none"/>
          <w14:textFill>
            <w14:solidFill>
              <w14:schemeClr w14:val="tx1"/>
            </w14:solidFill>
          </w14:textFill>
        </w:rPr>
        <w:t>。</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（3）响应保证金退还</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签订合同后</w:t>
      </w:r>
      <w:r>
        <w:rPr>
          <w:rFonts w:ascii="宋体" w:hAnsi="宋体" w:cs="宋体"/>
          <w:color w:val="000000" w:themeColor="text1"/>
          <w:kern w:val="0"/>
          <w:sz w:val="32"/>
          <w:szCs w:val="32"/>
          <w:highlight w:val="none"/>
          <w14:textFill>
            <w14:solidFill>
              <w14:schemeClr w14:val="tx1"/>
            </w14:solidFill>
          </w14:textFill>
        </w:rPr>
        <w:t>5</w:t>
      </w:r>
      <w:r>
        <w:rPr>
          <w:rFonts w:hint="eastAsia" w:ascii="宋体" w:hAnsi="宋体" w:cs="宋体"/>
          <w:color w:val="000000" w:themeColor="text1"/>
          <w:kern w:val="0"/>
          <w:sz w:val="32"/>
          <w:szCs w:val="32"/>
          <w:highlight w:val="none"/>
          <w14:textFill>
            <w14:solidFill>
              <w14:schemeClr w14:val="tx1"/>
            </w14:solidFill>
          </w14:textFill>
        </w:rPr>
        <w:t>个工作日内，按照原来款账户全额退还中标人及未中标人响应保证金。</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询比文件澄清</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（1）供应商对询比文件的疑问应在递交响应文件截止之日3天前通过电话、邮件的方式向采购人提出；</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（2）采购人将在递交响应文件截止之日2天前以答疑澄清形式在</w:t>
      </w:r>
      <w:r>
        <w:rPr>
          <w:rFonts w:hint="eastAsia" w:ascii="宋体" w:hAnsi="宋体" w:cs="宋体"/>
          <w:color w:val="000000" w:themeColor="text1"/>
          <w:sz w:val="32"/>
          <w:szCs w:val="32"/>
          <w:highlight w:val="none"/>
          <w14:textFill>
            <w14:solidFill>
              <w14:schemeClr w14:val="tx1"/>
            </w14:solidFill>
          </w14:textFill>
        </w:rPr>
        <w:t>安徽省驿达高速公路服务区经营管理有限公司</w:t>
      </w:r>
      <w:r>
        <w:rPr>
          <w:rFonts w:hint="eastAsia" w:ascii="宋体" w:hAnsi="宋体" w:cs="宋体"/>
          <w:color w:val="000000" w:themeColor="text1"/>
          <w:kern w:val="0"/>
          <w:sz w:val="32"/>
          <w:szCs w:val="32"/>
          <w:highlight w:val="none"/>
          <w14:textFill>
            <w14:solidFill>
              <w14:schemeClr w14:val="tx1"/>
            </w14:solidFill>
          </w14:textFill>
        </w:rPr>
        <w:t>网站发布。供应商应主动关注网站上的相关信息，无需回函确认；采购人不再以其他方式通知。</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履约保证金</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（1）履约保证金金额：</w:t>
      </w:r>
      <w:r>
        <w:rPr>
          <w:rFonts w:hint="eastAsia" w:ascii="宋体" w:hAnsi="宋体" w:cs="宋体"/>
          <w:color w:val="000000" w:themeColor="text1"/>
          <w:kern w:val="0"/>
          <w:sz w:val="32"/>
          <w:szCs w:val="32"/>
          <w:highlight w:val="none"/>
          <w:u w:val="single"/>
          <w14:textFill>
            <w14:solidFill>
              <w14:schemeClr w14:val="tx1"/>
            </w14:solidFill>
          </w14:textFill>
        </w:rPr>
        <w:t xml:space="preserve">  /  </w:t>
      </w:r>
      <w:r>
        <w:rPr>
          <w:rFonts w:hint="eastAsia" w:ascii="宋体" w:hAnsi="宋体" w:cs="宋体"/>
          <w:color w:val="000000" w:themeColor="text1"/>
          <w:kern w:val="0"/>
          <w:sz w:val="32"/>
          <w:szCs w:val="32"/>
          <w:highlight w:val="none"/>
          <w14:textFill>
            <w14:solidFill>
              <w14:schemeClr w14:val="tx1"/>
            </w14:solidFill>
          </w14:textFill>
        </w:rPr>
        <w:t>%签约合同价；</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（2）履约保证金形式：电汇（转账）或银行保函；采用银行保函时，出具履约担保银行级别须为国有或股份制商业银行支行及其以上。</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八、响应保证金账户</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户    名：安徽省驿达高速公路服务区经营管理有限公司</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开户银行：中国工商银行合肥市高新技术产业开发区支行</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账    号：1302011919201123880</w:t>
      </w:r>
    </w:p>
    <w:p>
      <w:pPr>
        <w:tabs>
          <w:tab w:val="left" w:pos="2300"/>
          <w:tab w:val="left" w:pos="5660"/>
        </w:tabs>
        <w:autoSpaceDE w:val="0"/>
        <w:autoSpaceDN w:val="0"/>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注：供应商人须在递交响应文件时一并递交退还响应保证金的收据和单位基本账户，以便后期退还响应保证金时使用。</w:t>
      </w:r>
    </w:p>
    <w:p>
      <w:pPr>
        <w:tabs>
          <w:tab w:val="left" w:pos="2300"/>
          <w:tab w:val="left" w:pos="5660"/>
        </w:tabs>
        <w:autoSpaceDE w:val="0"/>
        <w:autoSpaceDN w:val="0"/>
        <w:adjustRightInd w:val="0"/>
        <w:snapToGrid w:val="0"/>
        <w:spacing w:line="288" w:lineRule="auto"/>
        <w:ind w:firstLine="480"/>
        <w:jc w:val="right"/>
        <w:rPr>
          <w:rFonts w:ascii="宋体" w:hAnsi="宋体" w:cs="宋体"/>
          <w:color w:val="000000" w:themeColor="text1"/>
          <w:sz w:val="32"/>
          <w:szCs w:val="32"/>
          <w:highlight w:val="none"/>
          <w14:textFill>
            <w14:solidFill>
              <w14:schemeClr w14:val="tx1"/>
            </w14:solidFill>
          </w14:textFill>
        </w:rPr>
      </w:pPr>
    </w:p>
    <w:p>
      <w:pPr>
        <w:tabs>
          <w:tab w:val="left" w:pos="2300"/>
          <w:tab w:val="left" w:pos="5660"/>
        </w:tabs>
        <w:autoSpaceDE w:val="0"/>
        <w:autoSpaceDN w:val="0"/>
        <w:adjustRightInd w:val="0"/>
        <w:snapToGrid w:val="0"/>
        <w:spacing w:line="288" w:lineRule="auto"/>
        <w:ind w:firstLine="480"/>
        <w:jc w:val="right"/>
        <w:rPr>
          <w:rFonts w:ascii="宋体" w:hAnsi="宋体" w:cs="宋体"/>
          <w:color w:val="000000" w:themeColor="text1"/>
          <w:sz w:val="32"/>
          <w:szCs w:val="32"/>
          <w:highlight w:val="none"/>
          <w14:textFill>
            <w14:solidFill>
              <w14:schemeClr w14:val="tx1"/>
            </w14:solidFill>
          </w14:textFill>
        </w:rPr>
      </w:pPr>
    </w:p>
    <w:p>
      <w:pPr>
        <w:tabs>
          <w:tab w:val="left" w:pos="2300"/>
          <w:tab w:val="left" w:pos="5660"/>
        </w:tabs>
        <w:autoSpaceDE w:val="0"/>
        <w:autoSpaceDN w:val="0"/>
        <w:adjustRightInd w:val="0"/>
        <w:snapToGrid w:val="0"/>
        <w:spacing w:line="288" w:lineRule="auto"/>
        <w:ind w:firstLine="480"/>
        <w:jc w:val="righ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2020年</w:t>
      </w:r>
      <w:r>
        <w:rPr>
          <w:rFonts w:ascii="宋体" w:hAnsi="宋体" w:cs="宋体"/>
          <w:color w:val="000000" w:themeColor="text1"/>
          <w:sz w:val="32"/>
          <w:szCs w:val="32"/>
          <w:highlight w:val="none"/>
          <w:u w:val="singl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lang w:val="en-US" w:eastAsia="zh-CN"/>
          <w14:textFill>
            <w14:solidFill>
              <w14:schemeClr w14:val="tx1"/>
            </w14:solidFill>
          </w14:textFill>
        </w:rPr>
        <w:t>15</w:t>
      </w:r>
      <w:r>
        <w:rPr>
          <w:rFonts w:hint="eastAsia" w:ascii="宋体" w:hAnsi="宋体" w:cs="宋体"/>
          <w:color w:val="000000" w:themeColor="text1"/>
          <w:sz w:val="32"/>
          <w:szCs w:val="32"/>
          <w:highlight w:val="none"/>
          <w14:textFill>
            <w14:solidFill>
              <w14:schemeClr w14:val="tx1"/>
            </w14:solidFill>
          </w14:textFill>
        </w:rPr>
        <w:t>日</w:t>
      </w:r>
    </w:p>
    <w:bookmarkEnd w:id="6"/>
    <w:bookmarkEnd w:id="7"/>
    <w:bookmarkEnd w:id="8"/>
    <w:bookmarkEnd w:id="9"/>
    <w:bookmarkEnd w:id="10"/>
    <w:bookmarkEnd w:id="11"/>
    <w:bookmarkEnd w:id="12"/>
    <w:bookmarkEnd w:id="13"/>
    <w:bookmarkEnd w:id="14"/>
    <w:bookmarkEnd w:id="15"/>
    <w:bookmarkEnd w:id="16"/>
    <w:bookmarkEnd w:id="17"/>
    <w:p>
      <w:pPr>
        <w:pStyle w:val="5"/>
        <w:adjustRightInd w:val="0"/>
        <w:snapToGrid w:val="0"/>
        <w:spacing w:before="0" w:after="0" w:line="288" w:lineRule="auto"/>
        <w:rPr>
          <w:rFonts w:ascii="宋体" w:hAnsi="宋体" w:eastAsia="宋体" w:cs="宋体"/>
          <w:color w:val="000000" w:themeColor="text1"/>
          <w:highlight w:val="none"/>
          <w14:textFill>
            <w14:solidFill>
              <w14:schemeClr w14:val="tx1"/>
            </w14:solidFill>
          </w14:textFill>
        </w:rPr>
      </w:pPr>
    </w:p>
    <w:p>
      <w:pPr>
        <w:widowControl/>
        <w:adjustRightInd w:val="0"/>
        <w:snapToGrid w:val="0"/>
        <w:spacing w:line="288" w:lineRule="auto"/>
        <w:ind w:firstLine="480" w:firstLineChars="200"/>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8" w:name="_Toc7319"/>
      <w:r>
        <w:rPr>
          <w:rFonts w:hint="eastAsia" w:ascii="宋体" w:hAnsi="宋体" w:cs="宋体"/>
          <w:b/>
          <w:bCs/>
          <w:color w:val="000000" w:themeColor="text1"/>
          <w:kern w:val="0"/>
          <w:sz w:val="32"/>
          <w:szCs w:val="32"/>
          <w:highlight w:val="none"/>
          <w14:textFill>
            <w14:solidFill>
              <w14:schemeClr w14:val="tx1"/>
            </w14:solidFill>
          </w14:textFill>
        </w:rPr>
        <w:t>第二章  评审方法(综合评分法)</w:t>
      </w:r>
      <w:bookmarkEnd w:id="18"/>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本次评审采用综合评分法。评审小组对满足询比文件实质要求的响应文件进行商务技术和报价打分，按照综合得分由高到低的顺序推荐成交候选人，但报价低于其成本的除外。综合得分相等时，响应报价低的供应商优先，响应报价也相等时，由评审小组通过抽签的形式确定排序。</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提供相同品牌产品且初步审查及响应性评审的不同投标人参加同一合同项下投标的，按一家投标人计算，评审后得分最高的同品牌投标人获得中标人推荐资格；评审得分相同的，采取随机抽取方式确定，其他同品牌投标人不作为中标候选人。</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评审小组分两阶段评审：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第一阶段：首先对响应文件第一个信封（商务及技术文件）进行初步审查及响应性评审，其次对通过初步审查及响应性评审的供应商的响应文件第一个信封（商务及技术文件）进行详细评审；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第二阶段：采购人只对响应文件第一个信封（商务及技术文件）通过初步审查及响应性评审的供应商的响应文件第二个信封（报价文件）进行二次开启；评审小组首先对已开启的响应文件第二个信封（报价文件）进行初步审查及响应性评审，其次对通过初步审查及响应性评审的供应商的第二个信封（报价文件）进行详细评审；并对第二个信封（报价文件）通过初步审查及响应性评审的供应商的商务技术得分和响应报价得分进行汇总，得出综合得分，按照综合得分由高到低的顺序推荐成交候选人。</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本项目评审小组由采购人代表</w:t>
      </w:r>
      <w:r>
        <w:rPr>
          <w:rFonts w:hint="eastAsia" w:ascii="宋体" w:hAnsi="宋体" w:cs="宋体"/>
          <w:color w:val="000000" w:themeColor="text1"/>
          <w:kern w:val="0"/>
          <w:sz w:val="32"/>
          <w:szCs w:val="32"/>
          <w:highlight w:val="none"/>
          <w:u w:val="single"/>
          <w14:textFill>
            <w14:solidFill>
              <w14:schemeClr w14:val="tx1"/>
            </w14:solidFill>
          </w14:textFill>
        </w:rPr>
        <w:t>2</w:t>
      </w:r>
      <w:r>
        <w:rPr>
          <w:rFonts w:hint="eastAsia" w:ascii="宋体" w:hAnsi="宋体" w:cs="宋体"/>
          <w:color w:val="000000" w:themeColor="text1"/>
          <w:kern w:val="0"/>
          <w:sz w:val="32"/>
          <w:szCs w:val="32"/>
          <w:highlight w:val="none"/>
          <w14:textFill>
            <w14:solidFill>
              <w14:schemeClr w14:val="tx1"/>
            </w14:solidFill>
          </w14:textFill>
        </w:rPr>
        <w:t>人及专家评委</w:t>
      </w:r>
      <w:r>
        <w:rPr>
          <w:rFonts w:hint="eastAsia" w:ascii="宋体" w:hAnsi="宋体" w:cs="宋体"/>
          <w:color w:val="000000" w:themeColor="text1"/>
          <w:kern w:val="0"/>
          <w:sz w:val="32"/>
          <w:szCs w:val="32"/>
          <w:highlight w:val="none"/>
          <w:u w:val="single"/>
          <w14:textFill>
            <w14:solidFill>
              <w14:schemeClr w14:val="tx1"/>
            </w14:solidFill>
          </w14:textFill>
        </w:rPr>
        <w:t xml:space="preserve">  3 </w:t>
      </w:r>
      <w:r>
        <w:rPr>
          <w:rFonts w:hint="eastAsia" w:ascii="宋体" w:hAnsi="宋体" w:cs="宋体"/>
          <w:color w:val="000000" w:themeColor="text1"/>
          <w:kern w:val="0"/>
          <w:sz w:val="32"/>
          <w:szCs w:val="32"/>
          <w:highlight w:val="none"/>
          <w14:textFill>
            <w14:solidFill>
              <w14:schemeClr w14:val="tx1"/>
            </w14:solidFill>
          </w14:textFill>
        </w:rPr>
        <w:t>人共同组成，评审小组按以下程序进行评审。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1、初步审查及响应性评审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响应文件第一个信封（商务及技术文件）：</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（1）供应商资格符合询比公告中所列各项资格条件要求；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（2）响应文件签字、盖章齐全，符合响应文件格式规定；</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（3）未出现报价的相关内容；</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（4）响应保证金递交符合询比文件要求；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（5）响应文件内容齐全，格式符合询比文件要求；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u w:val="doubl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（6）</w:t>
      </w:r>
      <w:r>
        <w:rPr>
          <w:rFonts w:hint="eastAsia" w:ascii="宋体" w:hAnsi="宋体" w:cs="宋体"/>
          <w:color w:val="000000" w:themeColor="text1"/>
          <w:kern w:val="0"/>
          <w:sz w:val="32"/>
          <w:szCs w:val="32"/>
          <w:highlight w:val="none"/>
          <w:u w:val="double"/>
          <w14:textFill>
            <w14:solidFill>
              <w14:schemeClr w14:val="tx1"/>
            </w14:solidFill>
          </w14:textFill>
        </w:rPr>
        <w:t>设备关键技术参数（清单中标※的参数）满足采购需求的规定；</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（7）响应文件正、副本份数符合询比文件要求。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响应文件第二个信封（报价文件）：</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（1）响应文件签字、盖章齐全，符合响应文件格式规定；</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（2）报价未超出采购人规定的采购最高限价（1890000.00     元）；</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（3）响应文件内容齐全，格式符合询比文件要求；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（4）未修改采购人提供的工程量清单（包含清单说明、单位、数量、预留金等）；</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（5）响应文件正、副本份数符合询比文件要求。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供应商有不满足上述条件之一的，不通过初步审查及响应性评审。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2、详细评审</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评审小组对通过初步审查及响应性评审的响应文件按以下量化因素和分值进行评分，计算出综合得分：</w:t>
      </w:r>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08"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2"/>
                <w:szCs w:val="21"/>
                <w:highlight w:val="none"/>
                <w14:textFill>
                  <w14:solidFill>
                    <w14:schemeClr w14:val="tx1"/>
                  </w14:solidFill>
                </w14:textFill>
              </w:rPr>
              <w:t>条款内容</w:t>
            </w:r>
          </w:p>
        </w:tc>
        <w:tc>
          <w:tcPr>
            <w:tcW w:w="6932"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2"/>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08"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分值构成（100分)</w:t>
            </w:r>
          </w:p>
        </w:tc>
        <w:tc>
          <w:tcPr>
            <w:tcW w:w="6932"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评标价：70分</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其他因素：30分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608"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评标基准价计算方法</w:t>
            </w:r>
          </w:p>
        </w:tc>
        <w:tc>
          <w:tcPr>
            <w:tcW w:w="6932"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评标基准价的计算：</w:t>
            </w:r>
          </w:p>
          <w:p>
            <w:pPr>
              <w:adjustRightInd w:val="0"/>
              <w:snapToGrid w:val="0"/>
              <w:spacing w:line="300" w:lineRule="auto"/>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在开标现场，采购人将当场计算并宣布评标基准价。</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(1)评标价的确定：</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评标价Di＝报价函文字报价</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(2)评标基准价的确定：</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开启通过第一个信封评审的竞标人的第二个信封（报价文件），</w:t>
            </w:r>
            <w:r>
              <w:rPr>
                <w:rFonts w:hint="eastAsia" w:ascii="宋体" w:hAnsi="宋体" w:cs="宋体"/>
                <w:color w:val="000000" w:themeColor="text1"/>
                <w:sz w:val="21"/>
                <w:highlight w:val="none"/>
                <w14:textFill>
                  <w14:solidFill>
                    <w14:schemeClr w14:val="tx1"/>
                  </w14:solidFill>
                </w14:textFill>
              </w:rPr>
              <w:t>除开标现场被宣布为不进入评标基准价计算的投标报价之外</w:t>
            </w:r>
            <w:r>
              <w:rPr>
                <w:rFonts w:hint="eastAsia" w:ascii="宋体" w:hAnsi="宋体" w:cs="宋体"/>
                <w:color w:val="000000" w:themeColor="text1"/>
                <w:sz w:val="21"/>
                <w:szCs w:val="21"/>
                <w:highlight w:val="none"/>
                <w14:textFill>
                  <w14:solidFill>
                    <w14:schemeClr w14:val="tx1"/>
                  </w14:solidFill>
                </w14:textFill>
              </w:rPr>
              <w:t>，取竞标人第一个信封（商务及技术文件）评审得分前3名的评标价的最低价作为评标基准价。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608"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评标价的偏差率计算公式</w:t>
            </w:r>
          </w:p>
        </w:tc>
        <w:tc>
          <w:tcPr>
            <w:tcW w:w="6932"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偏差率=100%×(投标人评标价－评标基准价)/评标基准价</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16"/>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77"/>
        <w:gridCol w:w="1277"/>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blHeader/>
          <w:jc w:val="center"/>
        </w:trPr>
        <w:tc>
          <w:tcPr>
            <w:tcW w:w="2112" w:type="dxa"/>
            <w:gridSpan w:val="2"/>
            <w:vAlign w:val="center"/>
          </w:tcPr>
          <w:p>
            <w:pPr>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评分因素</w:t>
            </w:r>
          </w:p>
        </w:tc>
        <w:tc>
          <w:tcPr>
            <w:tcW w:w="1277" w:type="dxa"/>
            <w:vAlign w:val="center"/>
          </w:tcPr>
          <w:p>
            <w:pPr>
              <w:spacing w:line="360" w:lineRule="exact"/>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权重分值</w:t>
            </w:r>
          </w:p>
        </w:tc>
        <w:tc>
          <w:tcPr>
            <w:tcW w:w="5600" w:type="dxa"/>
            <w:vAlign w:val="center"/>
          </w:tcPr>
          <w:p>
            <w:pPr>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各评分因素细分项分值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blHeader/>
          <w:jc w:val="center"/>
        </w:trPr>
        <w:tc>
          <w:tcPr>
            <w:tcW w:w="2112" w:type="dxa"/>
            <w:gridSpan w:val="2"/>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评标价（C）</w:t>
            </w:r>
          </w:p>
        </w:tc>
        <w:tc>
          <w:tcPr>
            <w:tcW w:w="1277"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70</w:t>
            </w:r>
            <w:r>
              <w:rPr>
                <w:rFonts w:hint="eastAsia" w:ascii="宋体" w:hAnsi="宋体" w:cs="宋体"/>
                <w:color w:val="000000" w:themeColor="text1"/>
                <w:sz w:val="21"/>
                <w:szCs w:val="21"/>
                <w:highlight w:val="none"/>
                <w14:textFill>
                  <w14:solidFill>
                    <w14:schemeClr w14:val="tx1"/>
                  </w14:solidFill>
                </w14:textFill>
              </w:rPr>
              <w:t>分</w:t>
            </w:r>
          </w:p>
        </w:tc>
        <w:tc>
          <w:tcPr>
            <w:tcW w:w="5600" w:type="dxa"/>
            <w:vAlign w:val="center"/>
          </w:tcPr>
          <w:p>
            <w:pPr>
              <w:adjustRightInd w:val="0"/>
              <w:snapToGrid w:val="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评标价得分计算公式示例：</w:t>
            </w:r>
          </w:p>
          <w:p>
            <w:pPr>
              <w:adjustRightInd w:val="0"/>
              <w:snapToGrid w:val="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(1)如果投标人的评标价≦评标基准价，则评标价得分＝70；</w:t>
            </w:r>
          </w:p>
          <w:p>
            <w:pPr>
              <w:adjustRightInd w:val="0"/>
              <w:snapToGrid w:val="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(2)如果投标人的评标价&gt;评标基准价，则评标价得分＝F-|偏差率|×100×E。</w:t>
            </w:r>
          </w:p>
          <w:p>
            <w:pPr>
              <w:adjustRightInd w:val="0"/>
              <w:snapToGrid w:val="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其中F＝70，E＝0.25；即投标报价小于或等于评标基准价时均得70分，评标价每高于评标基准价的1%扣0.25分，最高得分为70分，最低得分为0分，内插计算。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blHeader/>
          <w:jc w:val="center"/>
        </w:trPr>
        <w:tc>
          <w:tcPr>
            <w:tcW w:w="735" w:type="dxa"/>
            <w:vMerge w:val="restart"/>
            <w:vAlign w:val="center"/>
          </w:tcPr>
          <w:p>
            <w:pPr>
              <w:ind w:left="-120" w:leftChars="-50" w:right="-120" w:rightChars="-5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w:t>
            </w:r>
          </w:p>
          <w:p>
            <w:pPr>
              <w:ind w:left="-120" w:leftChars="-50" w:right="-120" w:rightChars="-5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因素</w:t>
            </w:r>
          </w:p>
          <w:p>
            <w:pPr>
              <w:ind w:left="-120" w:leftChars="-50" w:right="-120" w:rightChars="-5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（D）</w:t>
            </w:r>
          </w:p>
        </w:tc>
        <w:tc>
          <w:tcPr>
            <w:tcW w:w="1377" w:type="dxa"/>
            <w:vMerge w:val="restart"/>
            <w:vAlign w:val="center"/>
          </w:tcPr>
          <w:p>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投标产品综合情况</w:t>
            </w:r>
          </w:p>
          <w:p>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分)</w:t>
            </w:r>
          </w:p>
        </w:tc>
        <w:tc>
          <w:tcPr>
            <w:tcW w:w="1277"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开水器</w:t>
            </w:r>
          </w:p>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14:textFill>
                  <w14:solidFill>
                    <w14:schemeClr w14:val="tx1"/>
                  </w14:solidFill>
                </w14:textFill>
              </w:rPr>
              <w:t>分）</w:t>
            </w:r>
          </w:p>
        </w:tc>
        <w:tc>
          <w:tcPr>
            <w:tcW w:w="5600" w:type="dxa"/>
            <w:vAlign w:val="center"/>
          </w:tcPr>
          <w:p>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满足询比文件最低要求的，得基本分</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cs="宋体"/>
                <w:color w:val="000000" w:themeColor="text1"/>
                <w:sz w:val="21"/>
                <w:szCs w:val="21"/>
                <w:highlight w:val="none"/>
                <w14:textFill>
                  <w14:solidFill>
                    <w14:schemeClr w14:val="tx1"/>
                  </w14:solidFill>
                </w14:textFill>
              </w:rPr>
              <w:t>分，根据技术指标、</w:t>
            </w:r>
            <w:r>
              <w:rPr>
                <w:color w:val="000000" w:themeColor="text1"/>
                <w:sz w:val="21"/>
                <w:szCs w:val="21"/>
                <w:highlight w:val="none"/>
                <w14:textFill>
                  <w14:solidFill>
                    <w14:schemeClr w14:val="tx1"/>
                  </w14:solidFill>
                </w14:textFill>
              </w:rPr>
              <w:t>能耗、</w:t>
            </w:r>
            <w:r>
              <w:rPr>
                <w:rFonts w:hint="eastAsia"/>
                <w:color w:val="000000" w:themeColor="text1"/>
                <w:sz w:val="21"/>
                <w:szCs w:val="21"/>
                <w:highlight w:val="none"/>
                <w:lang w:val="en-US" w:eastAsia="zh-CN"/>
                <w14:textFill>
                  <w14:solidFill>
                    <w14:schemeClr w14:val="tx1"/>
                  </w14:solidFill>
                </w14:textFill>
              </w:rPr>
              <w:t>材质、</w:t>
            </w:r>
            <w:r>
              <w:rPr>
                <w:color w:val="000000" w:themeColor="text1"/>
                <w:sz w:val="21"/>
                <w:szCs w:val="21"/>
                <w:highlight w:val="none"/>
                <w14:textFill>
                  <w14:solidFill>
                    <w14:schemeClr w14:val="tx1"/>
                  </w14:solidFill>
                </w14:textFill>
              </w:rPr>
              <w:t>工艺</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维护成本</w:t>
            </w:r>
            <w:r>
              <w:rPr>
                <w:rFonts w:hint="eastAsia" w:ascii="宋体" w:hAnsi="宋体" w:cs="宋体"/>
                <w:color w:val="000000" w:themeColor="text1"/>
                <w:sz w:val="21"/>
                <w:szCs w:val="21"/>
                <w:highlight w:val="none"/>
                <w14:textFill>
                  <w14:solidFill>
                    <w14:schemeClr w14:val="tx1"/>
                  </w14:solidFill>
                </w14:textFill>
              </w:rPr>
              <w:t>等产品情况加0～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blHeader/>
          <w:jc w:val="center"/>
        </w:trPr>
        <w:tc>
          <w:tcPr>
            <w:tcW w:w="735" w:type="dxa"/>
            <w:vMerge w:val="continue"/>
            <w:vAlign w:val="center"/>
          </w:tcPr>
          <w:p>
            <w:pPr>
              <w:ind w:left="-120" w:leftChars="-50" w:right="-120" w:rightChars="-50"/>
              <w:jc w:val="center"/>
              <w:rPr>
                <w:rFonts w:ascii="宋体" w:hAnsi="宋体" w:cs="宋体"/>
                <w:color w:val="000000" w:themeColor="text1"/>
                <w:sz w:val="21"/>
                <w:szCs w:val="21"/>
                <w:highlight w:val="none"/>
                <w14:textFill>
                  <w14:solidFill>
                    <w14:schemeClr w14:val="tx1"/>
                  </w14:solidFill>
                </w14:textFill>
              </w:rPr>
            </w:pPr>
          </w:p>
        </w:tc>
        <w:tc>
          <w:tcPr>
            <w:tcW w:w="1377" w:type="dxa"/>
            <w:vMerge w:val="continue"/>
            <w:vAlign w:val="center"/>
          </w:tcPr>
          <w:p>
            <w:pPr>
              <w:rPr>
                <w:rFonts w:ascii="宋体" w:hAnsi="宋体" w:cs="宋体"/>
                <w:color w:val="000000" w:themeColor="text1"/>
                <w:sz w:val="21"/>
                <w:szCs w:val="21"/>
                <w:highlight w:val="none"/>
                <w14:textFill>
                  <w14:solidFill>
                    <w14:schemeClr w14:val="tx1"/>
                  </w14:solidFill>
                </w14:textFill>
              </w:rPr>
            </w:pPr>
          </w:p>
        </w:tc>
        <w:tc>
          <w:tcPr>
            <w:tcW w:w="1277"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阻垢机</w:t>
            </w:r>
          </w:p>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分）</w:t>
            </w:r>
          </w:p>
        </w:tc>
        <w:tc>
          <w:tcPr>
            <w:tcW w:w="5600" w:type="dxa"/>
            <w:vAlign w:val="center"/>
          </w:tcPr>
          <w:p>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满足询比文件最低要求的，得基本分</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分，根据技术指标</w:t>
            </w:r>
            <w:r>
              <w:rPr>
                <w:color w:val="000000" w:themeColor="text1"/>
                <w:sz w:val="21"/>
                <w:szCs w:val="21"/>
                <w:highlight w:val="none"/>
                <w14:textFill>
                  <w14:solidFill>
                    <w14:schemeClr w14:val="tx1"/>
                  </w14:solidFill>
                </w14:textFill>
              </w:rPr>
              <w:t>能耗、</w:t>
            </w:r>
            <w:r>
              <w:rPr>
                <w:rFonts w:hint="eastAsia"/>
                <w:color w:val="000000" w:themeColor="text1"/>
                <w:sz w:val="21"/>
                <w:szCs w:val="21"/>
                <w:highlight w:val="none"/>
                <w:lang w:val="en-US" w:eastAsia="zh-CN"/>
                <w14:textFill>
                  <w14:solidFill>
                    <w14:schemeClr w14:val="tx1"/>
                  </w14:solidFill>
                </w14:textFill>
              </w:rPr>
              <w:t>材质、</w:t>
            </w:r>
            <w:r>
              <w:rPr>
                <w:color w:val="000000" w:themeColor="text1"/>
                <w:sz w:val="21"/>
                <w:szCs w:val="21"/>
                <w:highlight w:val="none"/>
                <w14:textFill>
                  <w14:solidFill>
                    <w14:schemeClr w14:val="tx1"/>
                  </w14:solidFill>
                </w14:textFill>
              </w:rPr>
              <w:t>工艺</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维护成本</w:t>
            </w:r>
            <w:r>
              <w:rPr>
                <w:rFonts w:hint="eastAsia" w:ascii="宋体" w:hAnsi="宋体" w:cs="宋体"/>
                <w:color w:val="000000" w:themeColor="text1"/>
                <w:sz w:val="21"/>
                <w:szCs w:val="21"/>
                <w:highlight w:val="none"/>
                <w14:textFill>
                  <w14:solidFill>
                    <w14:schemeClr w14:val="tx1"/>
                  </w14:solidFill>
                </w14:textFill>
              </w:rPr>
              <w:t>等产品情况加0～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735" w:type="dxa"/>
            <w:vMerge w:val="continue"/>
            <w:vAlign w:val="center"/>
          </w:tcPr>
          <w:p>
            <w:pPr>
              <w:ind w:left="-120" w:leftChars="-50" w:right="-120" w:rightChars="-50"/>
              <w:jc w:val="center"/>
              <w:rPr>
                <w:rFonts w:ascii="宋体" w:hAnsi="宋体" w:cs="宋体"/>
                <w:color w:val="000000" w:themeColor="text1"/>
                <w:sz w:val="21"/>
                <w:szCs w:val="21"/>
                <w:highlight w:val="none"/>
                <w14:textFill>
                  <w14:solidFill>
                    <w14:schemeClr w14:val="tx1"/>
                  </w14:solidFill>
                </w14:textFill>
              </w:rPr>
            </w:pPr>
          </w:p>
        </w:tc>
        <w:tc>
          <w:tcPr>
            <w:tcW w:w="1377" w:type="dxa"/>
            <w:vAlign w:val="center"/>
          </w:tcPr>
          <w:p>
            <w:pPr>
              <w:adjustRightInd w:val="0"/>
              <w:snapToGrid w:val="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售后服务承诺及技术支持（</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分）</w:t>
            </w:r>
          </w:p>
        </w:tc>
        <w:tc>
          <w:tcPr>
            <w:tcW w:w="1277" w:type="dxa"/>
            <w:vAlign w:val="center"/>
          </w:tcPr>
          <w:p>
            <w:pPr>
              <w:adjustRightInd w:val="0"/>
              <w:snapToGrid w:val="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分</w:t>
            </w:r>
          </w:p>
        </w:tc>
        <w:tc>
          <w:tcPr>
            <w:tcW w:w="5600" w:type="dxa"/>
            <w:vAlign w:val="center"/>
          </w:tcPr>
          <w:p>
            <w:pPr>
              <w:adjustRightInd w:val="0"/>
              <w:snapToGrid w:val="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满足询比文件基本要求的得基本分</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分，评审小组综合比较投标人售后服务承诺、现场指导</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保证项目按工期顺利实施的运输、安装、调试及人员服务的方案和措施等技术支持方案的完备程度等因素加0～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分。</w:t>
            </w:r>
          </w:p>
        </w:tc>
      </w:tr>
    </w:tbl>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3、算术性修正</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供应商报价有算术错误的，评审小组按以下原则对报价进行修正，修正的价格经供应商书面确认后具有约束力。供应商不接受修正价格的，评审小组应否决其投标。</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（1）响应文件中的大写金额与小写金额不一致的，以大写金额为准；</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（2）总价金额与依据单价计算出的结果不一致的，以单价金额为准修正总价， 但单价金额小数点有明显错误的除外；</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（3）当单价与数量相乘不等于合价时，以单价计算为准，如果单价有明显的小数点位置差错，应以标出的合价为准，同时对单价予以修正；</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（4）当各子目的合价累计不等于总价时，应以各子目合价累计数为准，修正总价。</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4、推荐成交候选人</w:t>
      </w:r>
    </w:p>
    <w:p>
      <w:pPr>
        <w:widowControl/>
        <w:tabs>
          <w:tab w:val="left" w:pos="180"/>
          <w:tab w:val="left" w:pos="720"/>
        </w:tabs>
        <w:adjustRightInd w:val="0"/>
        <w:snapToGrid w:val="0"/>
        <w:spacing w:line="288" w:lineRule="auto"/>
        <w:ind w:firstLine="64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对满足初步审查及响应性评审、算术性修正的响应文件，评审小组计算响应文件综合评分＝商务技术得分＋响应报价得分。按照综合得分由高到低的顺序推荐 3名成交候选人</w:t>
      </w:r>
      <w:r>
        <w:rPr>
          <w:rFonts w:hint="eastAsia" w:ascii="宋体" w:hAnsi="宋体" w:cs="宋体"/>
          <w:color w:val="000000" w:themeColor="text1"/>
          <w:kern w:val="0"/>
          <w:sz w:val="32"/>
          <w:szCs w:val="32"/>
          <w:highlight w:val="none"/>
          <w:lang w:eastAsia="zh-CN"/>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如不足3人，按《公路工程建设项目招标投标管理办法》（交通运输部令2015年第24号）相关规定处理。综合得分相等时，响应报价低的供应商优先，响应报价也相等时，由评审小组通过抽签的形式确定排序。</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5、出现以下情况之一的，作为询比失败处理，应重新组织询比：</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（1）出现影响询比公正的违法、违规行为的；</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（2）因不可抗力导致重大变故，本项目取消的。</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（3）递交响应文件的供应商少于3家。</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bookmarkStart w:id="19" w:name="_Toc481497225"/>
      <w:bookmarkStart w:id="20" w:name="_Toc489441267"/>
    </w:p>
    <w:bookmarkEnd w:id="19"/>
    <w:bookmarkEnd w:id="20"/>
    <w:p>
      <w:pPr>
        <w:adjustRightInd w:val="0"/>
        <w:snapToGrid w:val="0"/>
        <w:spacing w:line="288" w:lineRule="auto"/>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2"/>
          <w:szCs w:val="32"/>
          <w:highlight w:val="none"/>
          <w14:textFill>
            <w14:solidFill>
              <w14:schemeClr w14:val="tx1"/>
            </w14:solidFill>
          </w14:textFill>
        </w:rPr>
      </w:pPr>
    </w:p>
    <w:p>
      <w:pPr>
        <w:pStyle w:val="5"/>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bookmarkStart w:id="21" w:name="_Toc2302"/>
      <w:bookmarkStart w:id="22" w:name="_Toc26511"/>
      <w:bookmarkStart w:id="23" w:name="_Toc31956"/>
      <w:bookmarkStart w:id="24" w:name="_Toc594"/>
      <w:bookmarkStart w:id="25" w:name="_Toc1958"/>
      <w:bookmarkStart w:id="26" w:name="_Toc189369360"/>
      <w:r>
        <w:rPr>
          <w:rFonts w:hint="eastAsia" w:ascii="宋体" w:hAnsi="宋体" w:eastAsia="宋体" w:cs="宋体"/>
          <w:color w:val="000000" w:themeColor="text1"/>
          <w:szCs w:val="22"/>
          <w:highlight w:val="none"/>
          <w14:textFill>
            <w14:solidFill>
              <w14:schemeClr w14:val="tx1"/>
            </w14:solidFill>
          </w14:textFill>
        </w:rPr>
        <w:t>第三章  合同条款及格式</w:t>
      </w:r>
      <w:bookmarkEnd w:id="21"/>
      <w:bookmarkEnd w:id="22"/>
      <w:bookmarkEnd w:id="23"/>
      <w:bookmarkEnd w:id="24"/>
      <w:bookmarkEnd w:id="25"/>
    </w:p>
    <w:p>
      <w:pPr>
        <w:rPr>
          <w:color w:val="000000" w:themeColor="text1"/>
          <w:highlight w:val="none"/>
          <w14:textFill>
            <w14:solidFill>
              <w14:schemeClr w14:val="tx1"/>
            </w14:solidFill>
          </w14:textFill>
        </w:rPr>
      </w:pPr>
    </w:p>
    <w:bookmarkEnd w:id="26"/>
    <w:p>
      <w:pPr>
        <w:pStyle w:val="6"/>
        <w:adjustRightInd w:val="0"/>
        <w:snapToGrid w:val="0"/>
        <w:spacing w:before="0" w:after="0" w:line="288" w:lineRule="auto"/>
        <w:rPr>
          <w:rFonts w:cs="宋体"/>
          <w:b/>
          <w:bCs w:val="0"/>
          <w:color w:val="000000" w:themeColor="text1"/>
          <w:sz w:val="30"/>
          <w:szCs w:val="30"/>
          <w:highlight w:val="none"/>
          <w14:textFill>
            <w14:solidFill>
              <w14:schemeClr w14:val="tx1"/>
            </w14:solidFill>
          </w14:textFill>
        </w:rPr>
      </w:pPr>
      <w:bookmarkStart w:id="27" w:name="page50"/>
      <w:bookmarkEnd w:id="27"/>
      <w:bookmarkStart w:id="28" w:name="_Toc25838"/>
      <w:bookmarkStart w:id="29" w:name="_Toc31851"/>
      <w:r>
        <w:rPr>
          <w:rFonts w:hint="eastAsia" w:cs="宋体"/>
          <w:b/>
          <w:bCs w:val="0"/>
          <w:color w:val="000000" w:themeColor="text1"/>
          <w:sz w:val="30"/>
          <w:szCs w:val="30"/>
          <w:highlight w:val="none"/>
          <w14:textFill>
            <w14:solidFill>
              <w14:schemeClr w14:val="tx1"/>
            </w14:solidFill>
          </w14:textFill>
        </w:rPr>
        <w:t>合同协议书</w:t>
      </w:r>
      <w:bookmarkEnd w:id="28"/>
      <w:bookmarkEnd w:id="29"/>
    </w:p>
    <w:p>
      <w:pPr>
        <w:pStyle w:val="7"/>
        <w:adjustRightInd w:val="0"/>
        <w:snapToGrid w:val="0"/>
        <w:spacing w:line="288" w:lineRule="auto"/>
        <w:ind w:firstLine="602"/>
        <w:rPr>
          <w:rFonts w:ascii="宋体" w:hAnsi="宋体" w:cs="宋体"/>
          <w:b/>
          <w:bCs/>
          <w:color w:val="000000" w:themeColor="text1"/>
          <w:sz w:val="30"/>
          <w:szCs w:val="30"/>
          <w:highlight w:val="none"/>
          <w14:textFill>
            <w14:solidFill>
              <w14:schemeClr w14:val="tx1"/>
            </w14:solidFill>
          </w14:textFill>
        </w:rPr>
      </w:pPr>
    </w:p>
    <w:p>
      <w:pPr>
        <w:spacing w:line="360" w:lineRule="auto"/>
        <w:ind w:firstLine="753" w:firstLineChars="250"/>
        <w:rPr>
          <w:rFonts w:ascii="宋体" w:hAnsi="宋体" w:cs="宋体"/>
          <w:b/>
          <w:color w:val="000000" w:themeColor="text1"/>
          <w:highlight w:val="none"/>
          <w:u w:val="singl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highlight w:val="none"/>
          <w14:textFill>
            <w14:solidFill>
              <w14:schemeClr w14:val="tx1"/>
            </w14:solidFill>
          </w14:textFill>
        </w:rPr>
        <w:t xml:space="preserve">甲方（委托人）： </w:t>
      </w:r>
      <w:r>
        <w:rPr>
          <w:rFonts w:hint="eastAsia" w:ascii="宋体" w:hAnsi="宋体" w:cs="宋体"/>
          <w:b/>
          <w:color w:val="000000" w:themeColor="text1"/>
          <w:highlight w:val="none"/>
          <w:u w:val="single"/>
          <w14:textFill>
            <w14:solidFill>
              <w14:schemeClr w14:val="tx1"/>
            </w14:solidFill>
          </w14:textFill>
        </w:rPr>
        <w:t xml:space="preserve">                                              </w:t>
      </w:r>
    </w:p>
    <w:p>
      <w:pPr>
        <w:spacing w:line="360" w:lineRule="auto"/>
        <w:ind w:firstLine="602" w:firstLineChars="250"/>
        <w:rPr>
          <w:rFonts w:ascii="宋体" w:hAnsi="宋体" w:cs="宋体"/>
          <w:b/>
          <w:color w:val="000000" w:themeColor="text1"/>
          <w:highlight w:val="none"/>
          <w:u w:val="singl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乙方（受托人）：</w:t>
      </w:r>
      <w:r>
        <w:rPr>
          <w:rFonts w:hint="eastAsia" w:ascii="宋体" w:hAnsi="宋体" w:cs="宋体"/>
          <w:b/>
          <w:color w:val="000000" w:themeColor="text1"/>
          <w:highlight w:val="none"/>
          <w:u w:val="single"/>
          <w14:textFill>
            <w14:solidFill>
              <w14:schemeClr w14:val="tx1"/>
            </w14:solidFill>
          </w14:textFill>
        </w:rPr>
        <w:t xml:space="preserve">                                               </w:t>
      </w:r>
    </w:p>
    <w:p>
      <w:pPr>
        <w:spacing w:line="56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根据《中华人民共和国合同法》及相关法律规定，遵循平等、自愿、公平和诚实信用原则，甲乙双方就</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合同及有关事项协商一致，共同达成如下协议：</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第一条  合同概况</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1.1项目名称：</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项目地点： </w:t>
      </w:r>
      <w:r>
        <w:rPr>
          <w:rFonts w:hint="eastAsia" w:ascii="宋体" w:hAnsi="宋体" w:cs="宋体"/>
          <w:color w:val="000000" w:themeColor="text1"/>
          <w:highlight w:val="none"/>
          <w:u w:val="single"/>
          <w14:textFill>
            <w14:solidFill>
              <w14:schemeClr w14:val="tx1"/>
            </w14:solidFill>
          </w14:textFill>
        </w:rPr>
        <w:t xml:space="preserve">                          </w:t>
      </w:r>
    </w:p>
    <w:p>
      <w:pPr>
        <w:spacing w:line="560" w:lineRule="exact"/>
        <w:rPr>
          <w:rFonts w:ascii="宋体" w:hAnsi="宋体" w:cs="宋体"/>
          <w:bCs/>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项目内容：</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u w:val="single"/>
          <w14:textFill>
            <w14:solidFill>
              <w14:schemeClr w14:val="tx1"/>
            </w14:solidFill>
          </w14:textFill>
        </w:rPr>
        <w:t xml:space="preserve">     </w:t>
      </w:r>
    </w:p>
    <w:p>
      <w:pPr>
        <w:spacing w:line="48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 合同签订生效条件：甲、乙方签字、盖章后生效。</w:t>
      </w:r>
    </w:p>
    <w:p>
      <w:pPr>
        <w:snapToGrid w:val="0"/>
        <w:spacing w:line="48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 交货时间：</w:t>
      </w:r>
      <w:r>
        <w:rPr>
          <w:rFonts w:hint="eastAsia" w:ascii="宋体" w:hAnsi="宋体" w:cs="宋体"/>
          <w:color w:val="000000" w:themeColor="text1"/>
          <w:highlight w:val="none"/>
          <w:u w:val="single"/>
          <w14:textFill>
            <w14:solidFill>
              <w14:schemeClr w14:val="tx1"/>
            </w14:solidFill>
          </w14:textFill>
        </w:rPr>
        <w:t xml:space="preserve"> 自签订合同之日起25日历天内配货到指定服务区安装调试完毕。</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第二条    设备（工程）造价</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 设备（工程）总价：</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（人民币大写）小写：￥：</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第三条  产品标准及质保期</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 按照行业标准，并符合议定的要求。</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 产品质保期为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年（自乙方安装调试完毕并经甲方验收合格之日起开始计算）。</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3.3乙方保证长期为甲方提供最优惠的零部件，协助甲方维护好该设备。</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3.4在保修期内属甲方人为因素造成的损失，乙方只收取材料的成本费。</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第四条  交提货地点、方式及费用</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 交（提）货地点、方式：乙方负责送货至甲方指定地点并安装调试。</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4.2运输费用及风险：运输费用及运输过程中的一切风险均由乙方自行承担。</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第五条  验收标准、方法</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5.1验收标准：按询比文件中的工程量签单（含说明）中详尽的设备说明及行业标准验收。</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5.2验收方法：双方现场验收。</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第六条  结算方式及期限</w:t>
      </w:r>
    </w:p>
    <w:p>
      <w:pPr>
        <w:spacing w:line="560" w:lineRule="exact"/>
        <w:ind w:firstLine="360" w:firstLine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 银行转账支付，供货方按合同约定的交货地点交货后安装完毕并投入使用，由使用单位或合同签订单位进行设备验收，且经询比人验收合格后，一次性付至审定工程价款的9</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p>
    <w:p>
      <w:pPr>
        <w:spacing w:line="560" w:lineRule="exact"/>
        <w:ind w:firstLine="360" w:firstLine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6.2在质保期（</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年）满后，经使用方出具书面使用合格证明并经审计后，付至审定金额的100%。</w:t>
      </w:r>
    </w:p>
    <w:p>
      <w:pPr>
        <w:spacing w:line="560" w:lineRule="exact"/>
        <w:ind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6.3甲方每次付款，中标人必须向询比人开具同等金额的增值税专用发票，否则询比人有权拒绝付款。</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第七条 双方责任</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7.1  甲方：</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1、对现场进行监管。</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2、支付工程款。</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3、设备进入现场后，至少指派1人负责协调工作及设备安全。</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4、提供乙方施工所需的水、电。</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5、接到乙方施工过程必须由甲方解决的土建工作等方面的问题时，甲方必须在最短时间内解决。</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7.2  乙方：</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1、按质按量按时的向甲方交付合同上的全部设备。</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2、派1名专业技术人员免费指导培训甲方工作人员。</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3、提供产品完整的使用维护手册、产品合格证。</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4、在安装调试过程中发生的一切安全事故，均由乙方自行负责，如果因此给甲方造成损失的，乙方同意甲方无条件向其进行追偿。</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第八条  违约责任</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8.1乙方不能按期向甲方交付设备，按1000元/天向甲方支付违约金。</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8.2乙方交付的设备经甲方验收不合格或不符合合同附件以及行业标准，乙方须在甲方规定的期限内维修或更换完毕，否则，乙方须向甲方承担合同总额20%的违约责任，同时甲方无须支付乙方任何费用。</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8.3乙方交付安装的设备在质保期内发生质量或技术性问题，乙方须在甲方通知后的次日赴现场进行维修，每延期一天须向甲方承担1000元的违约金，多天累计计算。超过三天，甲方有权聘请第三方进行维修，由此产生的一切费用甲方有权在乙方的质保金中双倍扣除。</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8.4乙方在安装调试过程中，造成甲方已完工程破坏的，乙方须恢复原状或照价赔偿。</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第九条  补充事项</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9.1对本合同条款的任何变更、修改或增减须经双方协商同意后授权代表签署文件，并经双方单位签章后，才能作为本合同的补充部分并具有同等法律效力。</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9.2未尽事宜按照《中华人民共和国合同法》规定的内容执行。</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9.3 履约保证金按照询比文件有关条款执行.</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第十条  解决合同纠纷的方式</w:t>
      </w:r>
    </w:p>
    <w:p>
      <w:pPr>
        <w:spacing w:line="5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若执行合同过程中发生争议，双方先行友好协商，协商不成或不愿协商的，双方同意向甲方所在地人民法院提起诉讼。</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第十一条  本合同有效期</w:t>
      </w:r>
    </w:p>
    <w:p>
      <w:pPr>
        <w:spacing w:line="560" w:lineRule="exact"/>
        <w:ind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从双方签字盖章生效后至双方本次经济活动的债权、债务全部结清为止。</w:t>
      </w:r>
    </w:p>
    <w:p>
      <w:pPr>
        <w:spacing w:line="56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第十二条     本合同一式陆份，甲乙方各持叁份，具有同等法律效力。</w:t>
      </w:r>
    </w:p>
    <w:p>
      <w:pPr>
        <w:pStyle w:val="9"/>
        <w:rPr>
          <w:color w:val="000000" w:themeColor="text1"/>
          <w:highlight w:val="none"/>
          <w14:textFill>
            <w14:solidFill>
              <w14:schemeClr w14:val="tx1"/>
            </w14:solidFill>
          </w14:textFill>
        </w:rPr>
      </w:pPr>
    </w:p>
    <w:p>
      <w:pPr>
        <w:spacing w:line="500" w:lineRule="exact"/>
        <w:ind w:left="-50" w:leftChars="-21" w:firstLine="292" w:firstLineChars="1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业主（甲方）（盖章）：                      承包人（乙方）（盖章）：</w:t>
      </w:r>
    </w:p>
    <w:p>
      <w:pPr>
        <w:pStyle w:val="9"/>
        <w:rPr>
          <w:color w:val="000000" w:themeColor="text1"/>
          <w:highlight w:val="none"/>
          <w14:textFill>
            <w14:solidFill>
              <w14:schemeClr w14:val="tx1"/>
            </w14:solidFill>
          </w14:textFill>
        </w:rPr>
      </w:pPr>
    </w:p>
    <w:p>
      <w:pPr>
        <w:spacing w:line="500" w:lineRule="exact"/>
        <w:ind w:left="-103" w:leftChars="-121" w:hanging="187" w:hangingChars="7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法定代表人：                                         法定代表人：</w:t>
      </w:r>
    </w:p>
    <w:p>
      <w:pPr>
        <w:pStyle w:val="9"/>
        <w:rPr>
          <w:color w:val="000000" w:themeColor="text1"/>
          <w:highlight w:val="none"/>
          <w14:textFill>
            <w14:solidFill>
              <w14:schemeClr w14:val="tx1"/>
            </w14:solidFill>
          </w14:textFill>
        </w:rPr>
      </w:pPr>
    </w:p>
    <w:p>
      <w:pPr>
        <w:spacing w:line="500" w:lineRule="exact"/>
        <w:ind w:left="-103" w:leftChars="-121" w:hanging="187" w:hangingChars="7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代理人：                                             代理人：</w:t>
      </w:r>
    </w:p>
    <w:p>
      <w:pPr>
        <w:pStyle w:val="9"/>
        <w:rPr>
          <w:rFonts w:hAnsi="宋体" w:cs="宋体"/>
          <w:color w:val="000000" w:themeColor="text1"/>
          <w:sz w:val="21"/>
          <w:szCs w:val="24"/>
          <w:highlight w:val="none"/>
          <w14:textFill>
            <w14:solidFill>
              <w14:schemeClr w14:val="tx1"/>
            </w14:solidFill>
          </w14:textFill>
        </w:rPr>
      </w:pPr>
    </w:p>
    <w:p>
      <w:pPr>
        <w:pStyle w:val="7"/>
        <w:adjustRightInd w:val="0"/>
        <w:snapToGrid w:val="0"/>
        <w:spacing w:line="288" w:lineRule="auto"/>
        <w:ind w:firstLine="44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日期；    年    月   日                               日期；     年    月    日  </w:t>
      </w:r>
    </w:p>
    <w:p>
      <w:pPr>
        <w:pStyle w:val="6"/>
        <w:adjustRightInd w:val="0"/>
        <w:snapToGrid w:val="0"/>
        <w:spacing w:before="0" w:after="0" w:line="288" w:lineRule="auto"/>
        <w:rPr>
          <w:rFonts w:cs="宋体"/>
          <w:color w:val="000000" w:themeColor="text1"/>
          <w:highlight w:val="none"/>
          <w14:textFill>
            <w14:solidFill>
              <w14:schemeClr w14:val="tx1"/>
            </w14:solidFill>
          </w14:textFill>
        </w:rPr>
      </w:pPr>
      <w:bookmarkStart w:id="30" w:name="page70"/>
      <w:bookmarkEnd w:id="30"/>
      <w:bookmarkStart w:id="31" w:name="_Toc6086"/>
      <w:bookmarkStart w:id="32" w:name="_Toc22243"/>
      <w:r>
        <w:rPr>
          <w:rFonts w:hint="eastAsia" w:cs="宋体"/>
          <w:color w:val="000000" w:themeColor="text1"/>
          <w:highlight w:val="none"/>
          <w14:textFill>
            <w14:solidFill>
              <w14:schemeClr w14:val="tx1"/>
            </w14:solidFill>
          </w14:textFill>
        </w:rPr>
        <w:br w:type="page"/>
      </w:r>
      <w:r>
        <w:rPr>
          <w:rFonts w:hint="eastAsia" w:cs="宋体"/>
          <w:color w:val="000000" w:themeColor="text1"/>
          <w:highlight w:val="none"/>
          <w14:textFill>
            <w14:solidFill>
              <w14:schemeClr w14:val="tx1"/>
            </w14:solidFill>
          </w14:textFill>
        </w:rPr>
        <w:t>附件一：履约保证金格式</w:t>
      </w:r>
      <w:bookmarkEnd w:id="31"/>
      <w:bookmarkEnd w:id="32"/>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如采用银行保函，格式如下。</w:t>
      </w:r>
    </w:p>
    <w:p>
      <w:pPr>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履约保证金</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bookmarkStart w:id="33" w:name="page71"/>
      <w:bookmarkEnd w:id="33"/>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（采购人名称）：</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鉴于</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（采购人名称，以下简称“采购人”）接受</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（供应商名称，以下称“供应商”）于</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日参加</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（项目名称）项目的询比。我方愿意无条件地、不可撤销地就供应商履行与你方订立的合同，向你方提供担保。</w:t>
      </w:r>
      <w:r>
        <w:rPr>
          <w:rFonts w:hint="eastAsia" w:ascii="宋体" w:hAnsi="宋体" w:cs="宋体"/>
          <w:color w:val="000000" w:themeColor="text1"/>
          <w:sz w:val="22"/>
          <w:szCs w:val="22"/>
          <w:highlight w:val="non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ab/>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1.担保金额人民币（大写）</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2.担保有效期自采购人与供应商签订的合同生效之日起至项目完工验收之日28 日后失效。</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3.在本担保有效期内，如果供应商不履行合同约定的义务或其履行不符合合同的约定，我方在收到你方以书面形式提出的在担保金额内的赔偿要求后，在 7 日内无条件支付。</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4.采购人和供应商变更合同时，无论我方是否收到该变更，我方承担本担保规定的义务不变。</w:t>
      </w:r>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担保人名称 ：（盖单位章）</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法定代表人（单位负责人）</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或其委托代理人：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w:t>
      </w:r>
      <w:r>
        <w:rPr>
          <w:rFonts w:hint="eastAsia" w:ascii="宋体" w:hAnsi="宋体" w:cs="宋体"/>
          <w:color w:val="000000" w:themeColor="text1"/>
          <w:sz w:val="22"/>
          <w:szCs w:val="22"/>
          <w:highlight w:val="non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址：</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ab/>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邮政编码：</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w:t>
      </w:r>
      <w:r>
        <w:rPr>
          <w:rFonts w:hint="eastAsia" w:ascii="宋体" w:hAnsi="宋体" w:cs="宋体"/>
          <w:color w:val="000000" w:themeColor="text1"/>
          <w:sz w:val="22"/>
          <w:szCs w:val="22"/>
          <w:highlight w:val="non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 xml:space="preserve">      话：</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1100" w:firstLineChars="5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日</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注：本保函格式未经发包人同意不允许更改，如确需更改，须事先征得发包人同意。</w:t>
      </w:r>
    </w:p>
    <w:p>
      <w:pPr>
        <w:adjustRightInd w:val="0"/>
        <w:snapToGrid w:val="0"/>
        <w:spacing w:line="288" w:lineRule="auto"/>
        <w:jc w:val="both"/>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r>
        <w:rPr>
          <w:rFonts w:hint="eastAsia" w:ascii="宋体" w:hAnsi="宋体" w:cs="宋体"/>
          <w:color w:val="000000" w:themeColor="text1"/>
          <w:sz w:val="28"/>
          <w:szCs w:val="28"/>
          <w:highlight w:val="none"/>
          <w14:textFill>
            <w14:solidFill>
              <w14:schemeClr w14:val="tx1"/>
            </w14:solidFill>
          </w14:textFill>
        </w:rPr>
        <w:t>附件二：廉 政 合 同</w:t>
      </w: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p>
    <w:p>
      <w:pPr>
        <w:adjustRightInd w:val="0"/>
        <w:snapToGrid w:val="0"/>
        <w:spacing w:line="288" w:lineRule="auto"/>
        <w:ind w:firstLine="4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根据交通部《关于在交通基础设施建设中加强廉政建设的若干意见》以及有关工程建设、廉政建设的条规，为做好工程建设中的党风廉政建设，保证工程建设高效，保证建设资金的安全和有效使用以及投资效益，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（以下称甲方）与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（以下称乙方），特订立如下合同。</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第一条 甲乙双方的权利和义务</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（一）严格遵守党和国家有关法律法规及交通部的有关廉政规定。</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（二）严格执行</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项目的合同文件，自觉按合同办事。</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（三）双方的业务活动坚持公开、公正、诚信、透明的原则（除法律认定的商业秘密和合同文件另有规定之处），不得损害国家和集体利益，不得违反工程建设管理规章制度。</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（四）建立健全廉政制度，开展廉政教育，设立廉政告示牌、举报箱，公布举报电话，监督并认真查处违法违纪行为。</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（五）发现对方在业务活动中有违反廉政规定的行为，有及时提醒对方纠正的权利和义务。</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（六）发现对方严重违反本合同义务条款的行为，有向其上级部门举报、建议给予处理并要求告知处理结果的权利。</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第二条 甲方的义务</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（一）甲方及其工作人员不得索要或接受乙方的礼金、有价证券和贵重物品，不得在乙方报销任何由甲方或个人支付的费用。</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（二）甲方工作人员不得参加乙方安排的高消费宴请和娱乐活动，不得接受乙方提供的通讯工具、交通工具和高档办公用品。</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（三）甲方及其工作人员不得要求或者接受乙方为其住房装修、婚丧嫁娶活动、配偶子女的工作安排以及出国出境、旅游等提供方便。</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（四）甲方工作人员的配偶、子女不得从事与甲方工程有关的监理分包项目。</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第三条 乙方义务</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（一）乙方不得以任何理由向甲方及其工作人员馈赠礼金、有价证券、贵重礼品。</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（二）乙方不得以任何名义为甲方及其工作人员报销应甲方单位或个人支付的任何费用。</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（三）乙方不得以任何理由安排甲方工作人员参加高消费宴请及娱乐活动。</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（四）乙方不得为甲方单位和个人购置或提供通讯工具、交通工具和高档办公用品等。</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（五）乙方及其工作人员不得索取或接受施工单位的礼金、有价证券和贵重物品。</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（六）乙方及其工作人员必须严格按照监理规程办事，损害甲方利益。</w:t>
      </w:r>
    </w:p>
    <w:p>
      <w:pPr>
        <w:adjustRightInd w:val="0"/>
        <w:snapToGrid w:val="0"/>
        <w:spacing w:line="288"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第四条 违约责任</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（一）甲方及其工作人员违反本合同第一、二条，按管理权限，依据有关规定给予党纪、政纪或组织处理；涉嫌犯罪的，移交司法机关追究刑事责任；给乙方单位造成经济损失的，应予以赔偿。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288" w:lineRule="auto"/>
        <w:ind w:firstLine="44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二）乙方及其工作人员违反本合同第一、三条，除按管理权限，依据有关规定，给予党纪、政纪或组织处理；给甲方单位造成经济损失，应予赔偿，并对当事人给予1000-5000元的经济处罚（罚金从监理月支付费用中扣除）；情节严重的，甲方建议交通工程建设主管部门给予乙方一至三年内不得进入其主管的交通工程建设市场的处罚。</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第五条  双方约定</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288" w:lineRule="auto"/>
        <w:ind w:firstLine="442" w:firstLineChars="20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第六条 本合同有效期为甲乙双方签署之日起至该工程验收后止。</w:t>
      </w:r>
    </w:p>
    <w:p>
      <w:pPr>
        <w:adjustRightInd w:val="0"/>
        <w:snapToGrid w:val="0"/>
        <w:spacing w:line="288" w:lineRule="auto"/>
        <w:ind w:firstLine="44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 xml:space="preserve">第七条 </w:t>
      </w:r>
      <w:r>
        <w:rPr>
          <w:rFonts w:hint="eastAsia" w:ascii="宋体" w:hAnsi="宋体" w:cs="宋体"/>
          <w:b/>
          <w:color w:val="000000" w:themeColor="text1"/>
          <w:sz w:val="21"/>
          <w:szCs w:val="21"/>
          <w:highlight w:val="none"/>
          <w14:textFill>
            <w14:solidFill>
              <w14:schemeClr w14:val="tx1"/>
            </w14:solidFill>
          </w14:textFill>
        </w:rPr>
        <w:t>本合同一式陆份，甲乙方各持叁份，具有同等法律效力</w:t>
      </w:r>
      <w:r>
        <w:rPr>
          <w:rFonts w:hint="eastAsia" w:ascii="宋体" w:hAnsi="宋体" w:cs="宋体"/>
          <w:b/>
          <w:color w:val="000000" w:themeColor="text1"/>
          <w:highlight w:val="none"/>
          <w14:textFill>
            <w14:solidFill>
              <w14:schemeClr w14:val="tx1"/>
            </w14:solidFill>
          </w14:textFill>
        </w:rPr>
        <w:t>。</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甲方单位：（盖章）                         乙方单位（盖章）</w:t>
      </w:r>
    </w:p>
    <w:p>
      <w:pPr>
        <w:pStyle w:val="9"/>
        <w:rPr>
          <w:color w:val="000000" w:themeColor="text1"/>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                                 法定代表人</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或委托代理人：                             或委托代理人：</w:t>
      </w:r>
    </w:p>
    <w:p>
      <w:pPr>
        <w:pStyle w:val="9"/>
        <w:rPr>
          <w:color w:val="000000" w:themeColor="text1"/>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     址：                                地     址：</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     话：                                电     话：</w:t>
      </w:r>
    </w:p>
    <w:p>
      <w:pPr>
        <w:pStyle w:val="9"/>
        <w:rPr>
          <w:color w:val="000000" w:themeColor="text1"/>
          <w:highlight w:val="none"/>
          <w14:textFill>
            <w14:solidFill>
              <w14:schemeClr w14:val="tx1"/>
            </w14:solidFill>
          </w14:textFill>
        </w:rPr>
      </w:pPr>
    </w:p>
    <w:p>
      <w:pPr>
        <w:adjustRightInd w:val="0"/>
        <w:snapToGrid w:val="0"/>
        <w:spacing w:line="288" w:lineRule="auto"/>
        <w:ind w:firstLine="1320" w:firstLineChars="6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年   月   日                               年    月   日</w:t>
      </w:r>
    </w:p>
    <w:p>
      <w:pP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pPr>
        <w:spacing w:line="390" w:lineRule="atLeast"/>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安全生产合同</w:t>
      </w:r>
    </w:p>
    <w:p>
      <w:pPr>
        <w:spacing w:line="390" w:lineRule="atLeas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为在</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合同的实施过程中创造安全、高效的施工环境，切实搞好本项目的安全管理工作，本项目受托人</w:t>
      </w:r>
      <w:r>
        <w:rPr>
          <w:rFonts w:hint="eastAsia" w:ascii="宋体" w:hAnsi="宋体"/>
          <w:color w:val="000000" w:themeColor="text1"/>
          <w:szCs w:val="21"/>
          <w:highlight w:val="none"/>
          <w:u w:val="single"/>
          <w14:textFill>
            <w14:solidFill>
              <w14:schemeClr w14:val="tx1"/>
            </w14:solidFill>
          </w14:textFill>
        </w:rPr>
        <w:t xml:space="preserve">     安徽省驿达高速公路服务区经营管理有限公司   </w:t>
      </w:r>
      <w:r>
        <w:rPr>
          <w:rFonts w:hint="eastAsia" w:ascii="宋体" w:hAnsi="宋体"/>
          <w:color w:val="000000" w:themeColor="text1"/>
          <w:szCs w:val="21"/>
          <w:highlight w:val="none"/>
          <w14:textFill>
            <w14:solidFill>
              <w14:schemeClr w14:val="tx1"/>
            </w14:solidFill>
          </w14:textFill>
        </w:rPr>
        <w:t xml:space="preserve">与承包人 </w:t>
      </w:r>
      <w:r>
        <w:rPr>
          <w:rFonts w:hint="eastAsia" w:ascii="宋体" w:hAnsi="宋体" w:eastAsia="仿宋_GB2312" w:cs="宋体"/>
          <w:bCs/>
          <w:color w:val="000000" w:themeColor="text1"/>
          <w:highlight w:val="none"/>
          <w:u w:val="single"/>
          <w14:textFill>
            <w14:solidFill>
              <w14:schemeClr w14:val="tx1"/>
            </w14:solidFill>
          </w14:textFill>
        </w:rPr>
        <w:t xml:space="preserve"> </w:t>
      </w:r>
      <w:r>
        <w:rPr>
          <w:rFonts w:ascii="宋体" w:hAnsi="宋体" w:eastAsia="仿宋_GB2312" w:cs="宋体"/>
          <w:bCs/>
          <w:color w:val="000000" w:themeColor="text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(承包人名称，以下简称“承包人”)特此签订安全生产合同</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1.受托人及承包人职责</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严格遵守国家有关安全生产的法律法规，认真执行工程承包合同中的有关安全要求。</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按照“安全第一、预防为主”和坚持“管生产必须管安全”的原则进行安全生产管理，做到生产与安全工作同时计划、布置、检查、总结和评比。</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重要的安全设施必须坚持与主体工程“三同时”的原则，即：同时设计、审批，同时施工，同时验收，投入使用。</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定期召开安全生产调度会，及时传达中央及地方有关安全生产的精神。</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组织对承包人施工现场进行安全生产检查，监督承包人及时处理发现的各种安全隐患。</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2.承包人职责</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严格遵守《中华人民共和国安全生产法》、《建设工程安全生产管理条例》等国家有关安全生产的法律法规等有关安全生产的规定。认真执行工程承包合同中的有关安全要求。</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有关规定的最低数量和资质条件配备专职安全生产管理人员，专职负责所有员工的安全和治安保卫工作及预防事故的发生。安全机构人员有权按有关规定发布指令，并采取保护性措施防止事故发生。</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承包人在任何时候都应采取各种合理的预防措施，防止其员工发生任何违法、违禁、暴力或妨碍治安的行为。</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操作人员上岗，必须按规定穿戴防护用品。施工负责人和安全检查员应随时检查劳动防护用品的穿戴情况，不按规定穿戴防护用品的人员不得上岗。</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 所有施工机具设备和高空作业的设备均应定期检查，并有安全员的签字记录，保证其经常处于完好状态；不合格的机具、设备和劳动保护用品严禁使用。</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 施工中采用新技术、新工艺、新设备、新材料时，必须制定相应的安全技术措施，施工现场必须具有相关的安全标志牌。</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 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 安全生产费用按照相关规定使用和管理。</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3.违约责任</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如因受托人或承包人违约造成安全事故，将依法追究责任。</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本合同由双方法定代表人或其授权的代理人签署并加盖单位章后生效，全部工程竣工验收后失效。</w:t>
      </w:r>
    </w:p>
    <w:p>
      <w:pPr>
        <w:spacing w:line="390" w:lineRule="atLeast"/>
        <w:ind w:firstLine="616" w:firstLineChars="2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s="宋体"/>
          <w:b/>
          <w:color w:val="000000" w:themeColor="text1"/>
          <w:sz w:val="21"/>
          <w:szCs w:val="21"/>
          <w:highlight w:val="none"/>
          <w14:textFill>
            <w14:solidFill>
              <w14:schemeClr w14:val="tx1"/>
            </w14:solidFill>
          </w14:textFill>
        </w:rPr>
        <w:t xml:space="preserve"> 本合同一式陆份，甲乙方各持叁份，具有同等法律效力</w:t>
      </w:r>
      <w:r>
        <w:rPr>
          <w:rFonts w:hint="eastAsia" w:ascii="宋体" w:hAnsi="宋体" w:cs="宋体"/>
          <w:b/>
          <w:color w:val="000000" w:themeColor="text1"/>
          <w:highlight w:val="none"/>
          <w14:textFill>
            <w14:solidFill>
              <w14:schemeClr w14:val="tx1"/>
            </w14:solidFill>
          </w14:textFill>
        </w:rPr>
        <w:t>。</w:t>
      </w:r>
    </w:p>
    <w:p>
      <w:pPr>
        <w:spacing w:line="400" w:lineRule="atLeast"/>
        <w:ind w:firstLine="525"/>
        <w:rPr>
          <w:rFonts w:ascii="宋体" w:hAnsi="宋体"/>
          <w:color w:val="000000" w:themeColor="text1"/>
          <w:szCs w:val="21"/>
          <w:highlight w:val="none"/>
          <w14:textFill>
            <w14:solidFill>
              <w14:schemeClr w14:val="tx1"/>
            </w14:solidFill>
          </w14:textFill>
        </w:rPr>
      </w:pPr>
    </w:p>
    <w:p>
      <w:pPr>
        <w:spacing w:line="400" w:lineRule="atLeast"/>
        <w:ind w:firstLine="525"/>
        <w:rPr>
          <w:rFonts w:ascii="宋体" w:hAnsi="宋体"/>
          <w:color w:val="000000" w:themeColor="text1"/>
          <w:szCs w:val="21"/>
          <w:highlight w:val="none"/>
          <w14:textFill>
            <w14:solidFill>
              <w14:schemeClr w14:val="tx1"/>
            </w14:solidFill>
          </w14:textFill>
        </w:rPr>
      </w:pPr>
    </w:p>
    <w:p>
      <w:pPr>
        <w:spacing w:line="400" w:lineRule="atLeast"/>
        <w:ind w:firstLine="525"/>
        <w:rPr>
          <w:rFonts w:ascii="宋体" w:hAnsi="宋体"/>
          <w:color w:val="000000" w:themeColor="text1"/>
          <w:szCs w:val="21"/>
          <w:highlight w:val="none"/>
          <w14:textFill>
            <w14:solidFill>
              <w14:schemeClr w14:val="tx1"/>
            </w14:solidFill>
          </w14:textFill>
        </w:rPr>
      </w:pPr>
    </w:p>
    <w:p>
      <w:pPr>
        <w:spacing w:line="400" w:lineRule="atLeast"/>
        <w:ind w:firstLine="525"/>
        <w:rPr>
          <w:rFonts w:ascii="宋体" w:hAnsi="宋体"/>
          <w:color w:val="000000" w:themeColor="text1"/>
          <w:szCs w:val="21"/>
          <w:highlight w:val="none"/>
          <w14:textFill>
            <w14:solidFill>
              <w14:schemeClr w14:val="tx1"/>
            </w14:solidFill>
          </w14:textFill>
        </w:rPr>
      </w:pPr>
    </w:p>
    <w:p>
      <w:pPr>
        <w:spacing w:line="400" w:lineRule="atLeast"/>
        <w:ind w:firstLine="525"/>
        <w:rPr>
          <w:rFonts w:ascii="宋体" w:hAnsi="宋体"/>
          <w:color w:val="000000" w:themeColor="text1"/>
          <w:szCs w:val="21"/>
          <w:highlight w:val="none"/>
          <w14:textFill>
            <w14:solidFill>
              <w14:schemeClr w14:val="tx1"/>
            </w14:solidFill>
          </w14:textFill>
        </w:rPr>
      </w:pP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受托人：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          承包人：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pPr>
        <w:spacing w:line="440" w:lineRule="exact"/>
        <w:rPr>
          <w:rFonts w:ascii="宋体" w:hAnsi="宋体"/>
          <w:color w:val="000000" w:themeColor="text1"/>
          <w:szCs w:val="21"/>
          <w:highlight w:val="none"/>
          <w14:textFill>
            <w14:solidFill>
              <w14:schemeClr w14:val="tx1"/>
            </w14:solidFill>
          </w14:textFill>
        </w:rPr>
      </w:pP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    法定代表人或其委托代理人：</w:t>
      </w:r>
      <w:r>
        <w:rPr>
          <w:rFonts w:hint="eastAsia" w:ascii="宋体" w:hAnsi="宋体"/>
          <w:color w:val="000000" w:themeColor="text1"/>
          <w:szCs w:val="21"/>
          <w:highlight w:val="none"/>
          <w:u w:val="single"/>
          <w14:textFill>
            <w14:solidFill>
              <w14:schemeClr w14:val="tx1"/>
            </w14:solidFill>
          </w14:textFill>
        </w:rPr>
        <w:t xml:space="preserve">     (签</w:t>
      </w:r>
      <w:r>
        <w:rPr>
          <w:rFonts w:hint="eastAsia" w:ascii="宋体" w:hAnsi="宋体"/>
          <w:color w:val="000000" w:themeColor="text1"/>
          <w:szCs w:val="21"/>
          <w:highlight w:val="none"/>
          <w14:textFill>
            <w14:solidFill>
              <w14:schemeClr w14:val="tx1"/>
            </w14:solidFill>
          </w14:textFill>
        </w:rPr>
        <w:t>字</w:t>
      </w:r>
    </w:p>
    <w:p>
      <w:pPr>
        <w:spacing w:line="440" w:lineRule="exact"/>
        <w:rPr>
          <w:rFonts w:ascii="宋体" w:hAnsi="宋体"/>
          <w:color w:val="000000" w:themeColor="text1"/>
          <w:szCs w:val="21"/>
          <w:highlight w:val="none"/>
          <w14:textFill>
            <w14:solidFill>
              <w14:schemeClr w14:val="tx1"/>
            </w14:solidFill>
          </w14:textFill>
        </w:rPr>
      </w:pPr>
    </w:p>
    <w:p>
      <w:pPr>
        <w:spacing w:line="324"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月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日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月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日</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pPr>
        <w:adjustRightInd w:val="0"/>
        <w:snapToGrid w:val="0"/>
        <w:spacing w:line="288" w:lineRule="auto"/>
        <w:jc w:val="center"/>
        <w:outlineLvl w:val="0"/>
        <w:rPr>
          <w:rFonts w:ascii="宋体" w:hAnsi="宋体" w:cs="宋体"/>
          <w:bCs/>
          <w:color w:val="000000" w:themeColor="text1"/>
          <w:kern w:val="44"/>
          <w:sz w:val="44"/>
          <w:szCs w:val="22"/>
          <w:highlight w:val="none"/>
          <w14:textFill>
            <w14:solidFill>
              <w14:schemeClr w14:val="tx1"/>
            </w14:solidFill>
          </w14:textFill>
        </w:rPr>
      </w:pPr>
      <w:bookmarkStart w:id="34" w:name="_Toc27176"/>
      <w:r>
        <w:rPr>
          <w:rFonts w:hint="eastAsia" w:ascii="宋体" w:hAnsi="宋体" w:cs="宋体"/>
          <w:bCs/>
          <w:color w:val="000000" w:themeColor="text1"/>
          <w:kern w:val="44"/>
          <w:sz w:val="44"/>
          <w:szCs w:val="22"/>
          <w:highlight w:val="none"/>
          <w14:textFill>
            <w14:solidFill>
              <w14:schemeClr w14:val="tx1"/>
            </w14:solidFill>
          </w14:textFill>
        </w:rPr>
        <w:t xml:space="preserve">第四章 </w:t>
      </w:r>
      <w:bookmarkEnd w:id="34"/>
      <w:r>
        <w:rPr>
          <w:rFonts w:hint="eastAsia" w:ascii="宋体" w:hAnsi="宋体" w:cs="宋体"/>
          <w:bCs/>
          <w:color w:val="000000" w:themeColor="text1"/>
          <w:kern w:val="44"/>
          <w:sz w:val="44"/>
          <w:szCs w:val="22"/>
          <w:highlight w:val="none"/>
          <w14:textFill>
            <w14:solidFill>
              <w14:schemeClr w14:val="tx1"/>
            </w14:solidFill>
          </w14:textFill>
        </w:rPr>
        <w:t>采购清单及设备关键技术参数</w:t>
      </w:r>
    </w:p>
    <w:p>
      <w:pPr>
        <w:adjustRightInd w:val="0"/>
        <w:snapToGrid w:val="0"/>
        <w:spacing w:line="288" w:lineRule="auto"/>
        <w:jc w:val="both"/>
        <w:outlineLvl w:val="0"/>
        <w:rPr>
          <w:rFonts w:ascii="宋体" w:hAnsi="宋体" w:cs="宋体"/>
          <w:color w:val="000000" w:themeColor="text1"/>
          <w:sz w:val="28"/>
          <w:szCs w:val="28"/>
          <w:highlight w:val="none"/>
          <w14:textFill>
            <w14:solidFill>
              <w14:schemeClr w14:val="tx1"/>
            </w14:solidFill>
          </w14:textFill>
        </w:rPr>
      </w:pPr>
      <w:bookmarkStart w:id="35" w:name="_Toc13368"/>
      <w:bookmarkStart w:id="36" w:name="_Toc1726"/>
      <w:r>
        <w:rPr>
          <w:rFonts w:hint="eastAsia" w:ascii="宋体" w:hAnsi="宋体" w:cs="宋体"/>
          <w:color w:val="000000" w:themeColor="text1"/>
          <w:sz w:val="28"/>
          <w:szCs w:val="28"/>
          <w:highlight w:val="none"/>
          <w14:textFill>
            <w14:solidFill>
              <w14:schemeClr w14:val="tx1"/>
            </w14:solidFill>
          </w14:textFill>
        </w:rPr>
        <w:t>一、采购清单：</w:t>
      </w:r>
      <w:bookmarkEnd w:id="35"/>
      <w:bookmarkEnd w:id="36"/>
    </w:p>
    <w:tbl>
      <w:tblPr>
        <w:tblStyle w:val="16"/>
        <w:tblW w:w="9506" w:type="dxa"/>
        <w:tblInd w:w="317" w:type="dxa"/>
        <w:tblLayout w:type="fixed"/>
        <w:tblCellMar>
          <w:top w:w="0" w:type="dxa"/>
          <w:left w:w="108" w:type="dxa"/>
          <w:bottom w:w="0" w:type="dxa"/>
          <w:right w:w="108" w:type="dxa"/>
        </w:tblCellMar>
      </w:tblPr>
      <w:tblGrid>
        <w:gridCol w:w="1095"/>
        <w:gridCol w:w="1800"/>
        <w:gridCol w:w="1830"/>
        <w:gridCol w:w="2070"/>
        <w:gridCol w:w="2250"/>
        <w:gridCol w:w="461"/>
      </w:tblGrid>
      <w:tr>
        <w:tblPrEx>
          <w:tblCellMar>
            <w:top w:w="0" w:type="dxa"/>
            <w:left w:w="108" w:type="dxa"/>
            <w:bottom w:w="0" w:type="dxa"/>
            <w:right w:w="108" w:type="dxa"/>
          </w:tblCellMar>
        </w:tblPrEx>
        <w:trPr>
          <w:trHeight w:val="372" w:hRule="atLeast"/>
        </w:trPr>
        <w:tc>
          <w:tcPr>
            <w:tcW w:w="1095" w:type="dxa"/>
            <w:tcBorders>
              <w:top w:val="nil"/>
              <w:left w:val="nil"/>
              <w:bottom w:val="nil"/>
              <w:right w:val="nil"/>
            </w:tcBorders>
            <w:noWrap/>
            <w:vAlign w:val="bottom"/>
          </w:tcPr>
          <w:p>
            <w:pPr>
              <w:widowControl/>
              <w:rPr>
                <w:rFonts w:ascii="宋体" w:hAnsi="宋体" w:cs="宋体"/>
                <w:color w:val="000000" w:themeColor="text1"/>
                <w:sz w:val="22"/>
                <w:szCs w:val="22"/>
                <w:highlight w:val="none"/>
                <w14:textFill>
                  <w14:solidFill>
                    <w14:schemeClr w14:val="tx1"/>
                  </w14:solidFill>
                </w14:textFill>
              </w:rPr>
            </w:pPr>
          </w:p>
        </w:tc>
        <w:tc>
          <w:tcPr>
            <w:tcW w:w="1800" w:type="dxa"/>
            <w:tcBorders>
              <w:top w:val="nil"/>
              <w:left w:val="nil"/>
              <w:bottom w:val="nil"/>
              <w:right w:val="nil"/>
            </w:tcBorders>
            <w:noWrap/>
            <w:vAlign w:val="bottom"/>
          </w:tcPr>
          <w:p>
            <w:pPr>
              <w:widowControl/>
              <w:rPr>
                <w:rFonts w:ascii="宋体" w:hAnsi="宋体" w:cs="宋体"/>
                <w:color w:val="000000" w:themeColor="text1"/>
                <w:sz w:val="20"/>
                <w:highlight w:val="none"/>
                <w14:textFill>
                  <w14:solidFill>
                    <w14:schemeClr w14:val="tx1"/>
                  </w14:solidFill>
                </w14:textFill>
              </w:rPr>
            </w:pPr>
          </w:p>
        </w:tc>
        <w:tc>
          <w:tcPr>
            <w:tcW w:w="1830" w:type="dxa"/>
            <w:tcBorders>
              <w:top w:val="nil"/>
              <w:left w:val="nil"/>
              <w:bottom w:val="nil"/>
              <w:right w:val="nil"/>
            </w:tcBorders>
            <w:noWrap/>
            <w:vAlign w:val="bottom"/>
          </w:tcPr>
          <w:p>
            <w:pPr>
              <w:widowControl/>
              <w:rPr>
                <w:rFonts w:ascii="宋体" w:hAnsi="宋体" w:cs="宋体"/>
                <w:color w:val="000000" w:themeColor="text1"/>
                <w:sz w:val="20"/>
                <w:highlight w:val="none"/>
                <w14:textFill>
                  <w14:solidFill>
                    <w14:schemeClr w14:val="tx1"/>
                  </w14:solidFill>
                </w14:textFill>
              </w:rPr>
            </w:pPr>
          </w:p>
        </w:tc>
        <w:tc>
          <w:tcPr>
            <w:tcW w:w="2070" w:type="dxa"/>
            <w:tcBorders>
              <w:top w:val="nil"/>
              <w:left w:val="nil"/>
              <w:bottom w:val="nil"/>
              <w:right w:val="nil"/>
            </w:tcBorders>
            <w:noWrap/>
            <w:vAlign w:val="bottom"/>
          </w:tcPr>
          <w:p>
            <w:pPr>
              <w:widowControl/>
              <w:rPr>
                <w:rFonts w:ascii="宋体" w:hAnsi="宋体" w:cs="宋体"/>
                <w:color w:val="000000" w:themeColor="text1"/>
                <w:sz w:val="20"/>
                <w:highlight w:val="none"/>
                <w14:textFill>
                  <w14:solidFill>
                    <w14:schemeClr w14:val="tx1"/>
                  </w14:solidFill>
                </w14:textFill>
              </w:rPr>
            </w:pPr>
          </w:p>
        </w:tc>
        <w:tc>
          <w:tcPr>
            <w:tcW w:w="2250" w:type="dxa"/>
            <w:tcBorders>
              <w:top w:val="nil"/>
              <w:left w:val="nil"/>
              <w:bottom w:val="nil"/>
              <w:right w:val="nil"/>
            </w:tcBorders>
            <w:noWrap/>
            <w:vAlign w:val="bottom"/>
          </w:tcPr>
          <w:p>
            <w:pPr>
              <w:widowControl/>
              <w:jc w:val="center"/>
              <w:rPr>
                <w:rFonts w:ascii="宋体" w:hAnsi="宋体" w:cs="宋体"/>
                <w:color w:val="000000" w:themeColor="text1"/>
                <w:sz w:val="20"/>
                <w:highlight w:val="none"/>
                <w14:textFill>
                  <w14:solidFill>
                    <w14:schemeClr w14:val="tx1"/>
                  </w14:solidFill>
                </w14:textFill>
              </w:rPr>
            </w:pPr>
          </w:p>
        </w:tc>
        <w:tc>
          <w:tcPr>
            <w:tcW w:w="461" w:type="dxa"/>
            <w:tcBorders>
              <w:top w:val="nil"/>
              <w:left w:val="nil"/>
              <w:bottom w:val="nil"/>
              <w:right w:val="nil"/>
            </w:tcBorders>
            <w:noWrap/>
            <w:vAlign w:val="bottom"/>
          </w:tcPr>
          <w:p>
            <w:pPr>
              <w:widowControl/>
              <w:jc w:val="center"/>
              <w:rPr>
                <w:rFonts w:ascii="宋体" w:hAnsi="宋体" w:cs="宋体"/>
                <w:color w:val="000000" w:themeColor="text1"/>
                <w:sz w:val="20"/>
                <w:highlight w:val="none"/>
                <w14:textFill>
                  <w14:solidFill>
                    <w14:schemeClr w14:val="tx1"/>
                  </w14:solidFill>
                </w14:textFill>
              </w:rPr>
            </w:pPr>
          </w:p>
        </w:tc>
      </w:tr>
      <w:tr>
        <w:tblPrEx>
          <w:tblCellMar>
            <w:top w:w="0" w:type="dxa"/>
            <w:left w:w="108" w:type="dxa"/>
            <w:bottom w:w="0" w:type="dxa"/>
            <w:right w:w="108" w:type="dxa"/>
          </w:tblCellMar>
        </w:tblPrEx>
        <w:trPr>
          <w:gridAfter w:val="1"/>
          <w:wAfter w:w="461" w:type="dxa"/>
          <w:trHeight w:val="470" w:hRule="atLeast"/>
        </w:trPr>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类别</w:t>
            </w: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服务区名称</w:t>
            </w:r>
          </w:p>
        </w:tc>
        <w:tc>
          <w:tcPr>
            <w:tcW w:w="20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开水器数量</w:t>
            </w:r>
          </w:p>
        </w:tc>
        <w:tc>
          <w:tcPr>
            <w:tcW w:w="22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阻垢机数量</w:t>
            </w:r>
          </w:p>
        </w:tc>
      </w:tr>
      <w:tr>
        <w:tblPrEx>
          <w:tblCellMar>
            <w:top w:w="0" w:type="dxa"/>
            <w:left w:w="108" w:type="dxa"/>
            <w:bottom w:w="0" w:type="dxa"/>
            <w:right w:w="108" w:type="dxa"/>
          </w:tblCellMar>
        </w:tblPrEx>
        <w:trPr>
          <w:gridAfter w:val="1"/>
          <w:wAfter w:w="461" w:type="dxa"/>
          <w:trHeight w:val="612" w:hRule="atLeast"/>
        </w:trPr>
        <w:tc>
          <w:tcPr>
            <w:tcW w:w="1095" w:type="dxa"/>
            <w:tcBorders>
              <w:top w:val="nil"/>
              <w:left w:val="single" w:color="auto" w:sz="4" w:space="0"/>
              <w:bottom w:val="single" w:color="auto" w:sz="4" w:space="0"/>
              <w:right w:val="single" w:color="auto" w:sz="4" w:space="0"/>
            </w:tcBorders>
            <w:vAlign w:val="center"/>
          </w:tcPr>
          <w:p>
            <w:pPr>
              <w:widowControl/>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1</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A类</w:t>
            </w:r>
          </w:p>
        </w:tc>
        <w:tc>
          <w:tcPr>
            <w:tcW w:w="1830" w:type="dxa"/>
            <w:tcBorders>
              <w:top w:val="nil"/>
              <w:left w:val="nil"/>
              <w:bottom w:val="single" w:color="auto" w:sz="4" w:space="0"/>
              <w:right w:val="single" w:color="auto" w:sz="4" w:space="0"/>
            </w:tcBorders>
            <w:vAlign w:val="center"/>
          </w:tcPr>
          <w:p>
            <w:pPr>
              <w:widowControl/>
              <w:ind w:firstLine="660" w:firstLineChars="3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太白</w:t>
            </w:r>
          </w:p>
        </w:tc>
        <w:tc>
          <w:tcPr>
            <w:tcW w:w="20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center"/>
          </w:tcPr>
          <w:p>
            <w:pPr>
              <w:widowControl/>
              <w:ind w:firstLine="880" w:firstLineChars="4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432"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A类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广德</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28"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A类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符离</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64"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A类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三角元</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28"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A类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四方湖</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28"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A类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天门</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76"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7</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A类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新竹</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76"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8</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A类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釜山</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76"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9</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B类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君王</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28"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10</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B类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花园</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40"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11</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B类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牛头山</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52"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12</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B类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马衙</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52"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13</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B类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梅山</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52"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14</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B类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千军</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52" w:hRule="atLeast"/>
        </w:trPr>
        <w:tc>
          <w:tcPr>
            <w:tcW w:w="1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15</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B类</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长岭关</w:t>
            </w:r>
          </w:p>
        </w:tc>
        <w:tc>
          <w:tcPr>
            <w:tcW w:w="207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4台</w:t>
            </w:r>
          </w:p>
        </w:tc>
        <w:tc>
          <w:tcPr>
            <w:tcW w:w="2250"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2台</w:t>
            </w:r>
          </w:p>
        </w:tc>
      </w:tr>
      <w:tr>
        <w:tblPrEx>
          <w:tblCellMar>
            <w:top w:w="0" w:type="dxa"/>
            <w:left w:w="108" w:type="dxa"/>
            <w:bottom w:w="0" w:type="dxa"/>
            <w:right w:w="108" w:type="dxa"/>
          </w:tblCellMar>
        </w:tblPrEx>
        <w:trPr>
          <w:gridAfter w:val="1"/>
          <w:wAfter w:w="461" w:type="dxa"/>
          <w:trHeight w:val="552" w:hRule="atLeast"/>
        </w:trPr>
        <w:tc>
          <w:tcPr>
            <w:tcW w:w="47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w:t>
            </w:r>
          </w:p>
        </w:tc>
        <w:tc>
          <w:tcPr>
            <w:tcW w:w="20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60台</w:t>
            </w:r>
          </w:p>
        </w:tc>
        <w:tc>
          <w:tcPr>
            <w:tcW w:w="225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30台</w:t>
            </w:r>
          </w:p>
        </w:tc>
      </w:tr>
    </w:tbl>
    <w:p>
      <w:pPr>
        <w:adjustRightInd w:val="0"/>
        <w:snapToGrid w:val="0"/>
        <w:spacing w:line="288" w:lineRule="auto"/>
        <w:jc w:val="both"/>
        <w:outlineLvl w:val="0"/>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bCs/>
          <w:color w:val="000000" w:themeColor="text1"/>
          <w:kern w:val="44"/>
          <w:sz w:val="44"/>
          <w:szCs w:val="22"/>
          <w:highlight w:val="none"/>
          <w14:textFill>
            <w14:solidFill>
              <w14:schemeClr w14:val="tx1"/>
            </w14:solidFill>
          </w14:textFill>
        </w:rPr>
      </w:pPr>
      <w:r>
        <w:rPr>
          <w:rFonts w:hint="eastAsia" w:ascii="宋体" w:hAnsi="宋体" w:cs="宋体"/>
          <w:bCs/>
          <w:color w:val="000000" w:themeColor="text1"/>
          <w:kern w:val="44"/>
          <w:sz w:val="44"/>
          <w:szCs w:val="22"/>
          <w:highlight w:val="none"/>
          <w14:textFill>
            <w14:solidFill>
              <w14:schemeClr w14:val="tx1"/>
            </w14:solidFill>
          </w14:textFill>
        </w:rPr>
        <w:br w:type="page"/>
      </w:r>
      <w:bookmarkStart w:id="37" w:name="_Toc22022"/>
      <w:bookmarkStart w:id="38" w:name="_Toc19416"/>
      <w:bookmarkStart w:id="39" w:name="_Toc27778"/>
      <w:bookmarkStart w:id="40" w:name="_Toc15683"/>
      <w:bookmarkStart w:id="41" w:name="_Toc189369362"/>
      <w:r>
        <w:rPr>
          <w:rFonts w:hint="eastAsia" w:ascii="宋体" w:hAnsi="宋体" w:cs="宋体"/>
          <w:bCs/>
          <w:color w:val="000000" w:themeColor="text1"/>
          <w:kern w:val="44"/>
          <w:sz w:val="44"/>
          <w:szCs w:val="22"/>
          <w:highlight w:val="none"/>
          <w14:textFill>
            <w14:solidFill>
              <w14:schemeClr w14:val="tx1"/>
            </w14:solidFill>
          </w14:textFill>
        </w:rPr>
        <w:t xml:space="preserve"> 设备关键技术参数</w:t>
      </w:r>
    </w:p>
    <w:p>
      <w:pPr>
        <w:spacing w:line="408" w:lineRule="auto"/>
        <w:ind w:firstLine="88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kern w:val="44"/>
          <w:sz w:val="44"/>
          <w:szCs w:val="22"/>
          <w:highlight w:val="none"/>
          <w14:textFill>
            <w14:solidFill>
              <w14:schemeClr w14:val="tx1"/>
            </w14:solidFill>
          </w14:textFill>
        </w:rPr>
        <w:t xml:space="preserve"> </w:t>
      </w:r>
    </w:p>
    <w:p>
      <w:pPr>
        <w:spacing w:line="408" w:lineRule="auto"/>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开水器：</w:t>
      </w:r>
    </w:p>
    <w:p>
      <w:pPr>
        <w:spacing w:line="408" w:lineRule="auto"/>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提供拟投型号的商用电</w:t>
      </w:r>
      <w:r>
        <w:rPr>
          <w:rFonts w:hint="eastAsia" w:ascii="宋体" w:hAnsi="宋体" w:cs="宋体"/>
          <w:color w:val="000000" w:themeColor="text1"/>
          <w:sz w:val="21"/>
          <w:szCs w:val="21"/>
          <w:highlight w:val="none"/>
          <w14:textFill>
            <w14:solidFill>
              <w14:schemeClr w14:val="tx1"/>
            </w14:solidFill>
          </w14:textFill>
        </w:rPr>
        <w:t>开水器</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中国节能产品认证证书复印件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扫描件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加盖厂家</w:t>
      </w:r>
      <w:r>
        <w:rPr>
          <w:rFonts w:ascii="宋体" w:hAnsi="宋体" w:cs="宋体"/>
          <w:color w:val="000000" w:themeColor="text1"/>
          <w:sz w:val="21"/>
          <w:szCs w:val="21"/>
          <w:highlight w:val="none"/>
          <w14:textFill>
            <w14:solidFill>
              <w14:schemeClr w14:val="tx1"/>
            </w14:solidFill>
          </w14:textFill>
        </w:rPr>
        <w:t>公章</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p>
      <w:pPr>
        <w:pStyle w:val="22"/>
        <w:numPr>
          <w:ilvl w:val="0"/>
          <w:numId w:val="0"/>
        </w:numPr>
        <w:spacing w:line="408" w:lineRule="auto"/>
        <w:ind w:left="425" w:left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开水器为“即开即用，不使用不耗电，瞬间出开水，采用连续式、即热（</w:t>
      </w:r>
      <w:r>
        <w:rPr>
          <w:rFonts w:hint="eastAsia" w:ascii="宋体" w:hAnsi="宋体" w:cs="宋体"/>
          <w:color w:val="000000" w:themeColor="text1"/>
          <w:sz w:val="21"/>
          <w:szCs w:val="21"/>
          <w:highlight w:val="none"/>
          <w:lang w:val="en-US" w:eastAsia="zh-CN"/>
          <w14:textFill>
            <w14:solidFill>
              <w14:schemeClr w14:val="tx1"/>
            </w14:solidFill>
          </w14:textFill>
        </w:rPr>
        <w:t>开</w:t>
      </w:r>
      <w:r>
        <w:rPr>
          <w:rFonts w:hint="eastAsia" w:ascii="宋体" w:hAnsi="宋体" w:cs="宋体"/>
          <w:color w:val="000000" w:themeColor="text1"/>
          <w:sz w:val="21"/>
          <w:szCs w:val="21"/>
          <w:highlight w:val="none"/>
          <w:lang w:eastAsia="zh-CN"/>
          <w14:textFill>
            <w14:solidFill>
              <w14:schemeClr w14:val="tx1"/>
            </w14:solidFill>
          </w14:textFill>
        </w:rPr>
        <w:t>）式加热技术”</w:t>
      </w:r>
      <w:r>
        <w:rPr>
          <w:rFonts w:hint="eastAsia" w:ascii="宋体" w:hAnsi="宋体" w:cs="宋体"/>
          <w:color w:val="000000" w:themeColor="text1"/>
          <w:sz w:val="21"/>
          <w:szCs w:val="21"/>
          <w:highlight w:val="non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pPr>
        <w:pStyle w:val="22"/>
        <w:numPr>
          <w:ilvl w:val="0"/>
          <w:numId w:val="0"/>
        </w:numPr>
        <w:spacing w:line="408" w:lineRule="auto"/>
        <w:ind w:left="425" w:left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功率≤</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KW，持续</w:t>
      </w:r>
      <w:r>
        <w:rPr>
          <w:rFonts w:ascii="宋体" w:hAnsi="宋体" w:cs="宋体"/>
          <w:color w:val="000000" w:themeColor="text1"/>
          <w:sz w:val="21"/>
          <w:szCs w:val="21"/>
          <w:highlight w:val="none"/>
          <w14:textFill>
            <w14:solidFill>
              <w14:schemeClr w14:val="tx1"/>
            </w14:solidFill>
          </w14:textFill>
        </w:rPr>
        <w:t>供应</w:t>
      </w:r>
      <w:r>
        <w:rPr>
          <w:rFonts w:hint="eastAsia" w:ascii="宋体" w:hAnsi="宋体" w:cs="宋体"/>
          <w:color w:val="000000" w:themeColor="text1"/>
          <w:sz w:val="21"/>
          <w:szCs w:val="21"/>
          <w:highlight w:val="none"/>
          <w14:textFill>
            <w14:solidFill>
              <w14:schemeClr w14:val="tx1"/>
            </w14:solidFill>
          </w14:textFill>
        </w:rPr>
        <w:t>开水流量≥120L/小时。</w:t>
      </w:r>
    </w:p>
    <w:p>
      <w:pPr>
        <w:spacing w:line="408" w:lineRule="auto"/>
        <w:ind w:left="418" w:leftChars="174"/>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、单位水</w:t>
      </w:r>
      <w:r>
        <w:rPr>
          <w:rFonts w:ascii="宋体" w:hAnsi="宋体" w:cs="宋体"/>
          <w:color w:val="000000" w:themeColor="text1"/>
          <w:sz w:val="21"/>
          <w:szCs w:val="21"/>
          <w:highlight w:val="none"/>
          <w14:textFill>
            <w14:solidFill>
              <w14:schemeClr w14:val="tx1"/>
            </w14:solidFill>
          </w14:textFill>
        </w:rPr>
        <w:t>量能耗</w:t>
      </w:r>
      <w:r>
        <w:rPr>
          <w:rFonts w:hint="eastAsia" w:ascii="宋体" w:hAnsi="宋体" w:cs="宋体"/>
          <w:color w:val="000000" w:themeColor="text1"/>
          <w:sz w:val="21"/>
          <w:szCs w:val="21"/>
          <w:highlight w:val="none"/>
          <w14:textFill>
            <w14:solidFill>
              <w14:schemeClr w14:val="tx1"/>
            </w14:solidFill>
          </w14:textFill>
        </w:rPr>
        <w:t>≤0.091</w:t>
      </w:r>
      <w:r>
        <w:rPr>
          <w:rFonts w:ascii="宋体" w:hAnsi="宋体" w:cs="宋体"/>
          <w:color w:val="000000" w:themeColor="text1"/>
          <w:sz w:val="21"/>
          <w:szCs w:val="21"/>
          <w:highlight w:val="none"/>
          <w14:textFill>
            <w14:solidFill>
              <w14:schemeClr w14:val="tx1"/>
            </w14:solidFill>
          </w14:textFill>
        </w:rPr>
        <w:t>kw.h/L</w:t>
      </w:r>
      <w:r>
        <w:rPr>
          <w:rFonts w:hint="eastAsia" w:ascii="宋体" w:hAnsi="宋体" w:cs="宋体"/>
          <w:color w:val="000000" w:themeColor="text1"/>
          <w:sz w:val="21"/>
          <w:szCs w:val="21"/>
          <w:highlight w:val="none"/>
          <w14:textFill>
            <w14:solidFill>
              <w14:schemeClr w14:val="tx1"/>
            </w14:solidFill>
          </w14:textFill>
        </w:rPr>
        <w:t xml:space="preserve">规定值。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pPr>
        <w:numPr>
          <w:ilvl w:val="0"/>
          <w:numId w:val="0"/>
        </w:numPr>
        <w:spacing w:line="408"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要求配置双水龙头</w:t>
      </w:r>
      <w:r>
        <w:rPr>
          <w:rFonts w:ascii="宋体" w:hAnsi="宋体" w:cs="宋体"/>
          <w:color w:val="000000" w:themeColor="text1"/>
          <w:sz w:val="21"/>
          <w:szCs w:val="21"/>
          <w:highlight w:val="none"/>
          <w14:textFill>
            <w14:solidFill>
              <w14:schemeClr w14:val="tx1"/>
            </w14:solidFill>
          </w14:textFill>
        </w:rPr>
        <w:t>同时</w:t>
      </w:r>
      <w:r>
        <w:rPr>
          <w:rFonts w:hint="eastAsia" w:ascii="宋体" w:hAnsi="宋体" w:cs="宋体"/>
          <w:color w:val="000000" w:themeColor="text1"/>
          <w:sz w:val="21"/>
          <w:szCs w:val="21"/>
          <w:highlight w:val="none"/>
          <w14:textFill>
            <w14:solidFill>
              <w14:schemeClr w14:val="tx1"/>
            </w14:solidFill>
          </w14:textFill>
        </w:rPr>
        <w:t xml:space="preserve">出开水，24小时连续供应≥93度开水不降温。  </w:t>
      </w:r>
      <w:r>
        <w:rPr>
          <w:rFonts w:ascii="宋体" w:hAnsi="宋体" w:cs="宋体"/>
          <w:color w:val="000000" w:themeColor="text1"/>
          <w:sz w:val="21"/>
          <w:szCs w:val="21"/>
          <w:highlight w:val="none"/>
          <w14:textFill>
            <w14:solidFill>
              <w14:schemeClr w14:val="tx1"/>
            </w14:solidFill>
          </w14:textFill>
        </w:rPr>
        <w:t xml:space="preserve">             </w:t>
      </w:r>
    </w:p>
    <w:p>
      <w:pPr>
        <w:numPr>
          <w:ilvl w:val="0"/>
          <w:numId w:val="0"/>
        </w:numPr>
        <w:spacing w:line="408"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、显示屏</w:t>
      </w:r>
      <w:r>
        <w:rPr>
          <w:rFonts w:ascii="宋体" w:hAnsi="宋体" w:cs="宋体"/>
          <w:color w:val="000000" w:themeColor="text1"/>
          <w:sz w:val="21"/>
          <w:szCs w:val="21"/>
          <w:highlight w:val="none"/>
          <w14:textFill>
            <w14:solidFill>
              <w14:schemeClr w14:val="tx1"/>
            </w14:solidFill>
          </w14:textFill>
        </w:rPr>
        <w:t>显示开水温度</w:t>
      </w:r>
      <w:r>
        <w:rPr>
          <w:rFonts w:hint="eastAsia" w:ascii="宋体" w:hAnsi="宋体" w:cs="宋体"/>
          <w:color w:val="000000" w:themeColor="text1"/>
          <w:sz w:val="21"/>
          <w:szCs w:val="21"/>
          <w:highlight w:val="none"/>
          <w14:textFill>
            <w14:solidFill>
              <w14:schemeClr w14:val="tx1"/>
            </w14:solidFill>
          </w14:textFill>
        </w:rPr>
        <w:t>。</w:t>
      </w:r>
    </w:p>
    <w:p>
      <w:pPr>
        <w:spacing w:line="408" w:lineRule="auto"/>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、机器内置三级及</w:t>
      </w:r>
      <w:r>
        <w:rPr>
          <w:rFonts w:ascii="宋体" w:hAnsi="宋体" w:cs="宋体"/>
          <w:color w:val="000000" w:themeColor="text1"/>
          <w:sz w:val="21"/>
          <w:szCs w:val="21"/>
          <w:highlight w:val="none"/>
          <w14:textFill>
            <w14:solidFill>
              <w14:schemeClr w14:val="tx1"/>
            </w14:solidFill>
          </w14:textFill>
        </w:rPr>
        <w:t>以上</w:t>
      </w:r>
      <w:r>
        <w:rPr>
          <w:rFonts w:hint="eastAsia" w:ascii="宋体" w:hAnsi="宋体" w:cs="宋体"/>
          <w:color w:val="000000" w:themeColor="text1"/>
          <w:sz w:val="21"/>
          <w:szCs w:val="21"/>
          <w:highlight w:val="none"/>
          <w14:textFill>
            <w14:solidFill>
              <w14:schemeClr w14:val="tx1"/>
            </w14:solidFill>
          </w14:textFill>
        </w:rPr>
        <w:t>过滤净水系统。</w:t>
      </w:r>
    </w:p>
    <w:p>
      <w:pPr>
        <w:pStyle w:val="9"/>
        <w:ind w:left="209" w:leftChars="87" w:firstLine="157" w:firstLineChars="75"/>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机器</w:t>
      </w:r>
      <w:r>
        <w:rPr>
          <w:color w:val="000000" w:themeColor="text1"/>
          <w:sz w:val="21"/>
          <w:szCs w:val="21"/>
          <w:highlight w:val="none"/>
          <w14:textFill>
            <w14:solidFill>
              <w14:schemeClr w14:val="tx1"/>
            </w14:solidFill>
          </w14:textFill>
        </w:rPr>
        <w:t>外壳材质和接水盘材质为金属不锈钢。</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p>
    <w:p>
      <w:pPr>
        <w:pStyle w:val="9"/>
        <w:ind w:left="209" w:leftChars="87" w:firstLine="157" w:firstLineChars="75"/>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加热管采用金属不锈钢</w:t>
      </w:r>
      <w:r>
        <w:rPr>
          <w:rFonts w:hint="eastAsia"/>
          <w:color w:val="000000" w:themeColor="text1"/>
          <w:sz w:val="21"/>
          <w:szCs w:val="21"/>
          <w:highlight w:val="none"/>
          <w:lang w:val="en-US" w:eastAsia="zh-CN"/>
          <w14:textFill>
            <w14:solidFill>
              <w14:schemeClr w14:val="tx1"/>
            </w14:solidFill>
          </w14:textFill>
        </w:rPr>
        <w:t>或石英管</w:t>
      </w:r>
      <w:r>
        <w:rPr>
          <w:color w:val="000000" w:themeColor="text1"/>
          <w:sz w:val="21"/>
          <w:szCs w:val="21"/>
          <w:highlight w:val="none"/>
          <w14:textFill>
            <w14:solidFill>
              <w14:schemeClr w14:val="tx1"/>
            </w14:solidFill>
          </w14:textFill>
        </w:rPr>
        <w:t>。</w:t>
      </w:r>
    </w:p>
    <w:p>
      <w:pPr>
        <w:pStyle w:val="9"/>
        <w:rPr>
          <w:rFonts w:hint="eastAsia"/>
          <w:color w:val="000000" w:themeColor="text1"/>
          <w:highlight w:val="none"/>
          <w:lang w:val="en-US" w:eastAsia="zh-CN"/>
          <w14:textFill>
            <w14:solidFill>
              <w14:schemeClr w14:val="tx1"/>
            </w14:solidFill>
          </w14:textFill>
        </w:rPr>
      </w:pPr>
    </w:p>
    <w:p>
      <w:pPr>
        <w:spacing w:line="408"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阻垢机</w:t>
      </w:r>
      <w:r>
        <w:rPr>
          <w:rFonts w:hint="eastAsia" w:ascii="宋体" w:hAnsi="宋体" w:cs="宋体"/>
          <w:color w:val="000000" w:themeColor="text1"/>
          <w:sz w:val="21"/>
          <w:szCs w:val="21"/>
          <w:highlight w:val="none"/>
          <w:lang w:eastAsia="zh-CN"/>
          <w14:textFill>
            <w14:solidFill>
              <w14:schemeClr w14:val="tx1"/>
            </w14:solidFill>
          </w14:textFill>
        </w:rPr>
        <w:t>：</w:t>
      </w:r>
    </w:p>
    <w:p>
      <w:pPr>
        <w:spacing w:line="408"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 xml:space="preserve"> 提供</w:t>
      </w:r>
      <w:r>
        <w:rPr>
          <w:rFonts w:hint="eastAsia" w:ascii="宋体" w:hAnsi="宋体" w:cs="宋体"/>
          <w:color w:val="000000" w:themeColor="text1"/>
          <w:sz w:val="21"/>
          <w:szCs w:val="21"/>
          <w:highlight w:val="none"/>
          <w:lang w:val="en-US" w:eastAsia="zh-CN"/>
          <w14:textFill>
            <w14:solidFill>
              <w14:schemeClr w14:val="tx1"/>
            </w14:solidFill>
          </w14:textFill>
        </w:rPr>
        <w:t>拟</w:t>
      </w:r>
      <w:r>
        <w:rPr>
          <w:rFonts w:hint="eastAsia" w:ascii="宋体" w:hAnsi="宋体" w:cs="宋体"/>
          <w:color w:val="000000" w:themeColor="text1"/>
          <w:sz w:val="21"/>
          <w:szCs w:val="21"/>
          <w:highlight w:val="none"/>
          <w14:textFill>
            <w14:solidFill>
              <w14:schemeClr w14:val="tx1"/>
            </w14:solidFill>
          </w14:textFill>
        </w:rPr>
        <w:t>投</w:t>
      </w:r>
      <w:r>
        <w:rPr>
          <w:rFonts w:hint="eastAsia" w:ascii="宋体" w:hAnsi="宋体" w:cs="宋体"/>
          <w:color w:val="000000" w:themeColor="text1"/>
          <w:sz w:val="21"/>
          <w:szCs w:val="21"/>
          <w:highlight w:val="none"/>
          <w:lang w:val="en-US" w:eastAsia="zh-CN"/>
          <w14:textFill>
            <w14:solidFill>
              <w14:schemeClr w14:val="tx1"/>
            </w14:solidFill>
          </w14:textFill>
        </w:rPr>
        <w:t>型号的</w:t>
      </w:r>
      <w:r>
        <w:rPr>
          <w:rFonts w:hint="eastAsia" w:ascii="宋体" w:hAnsi="宋体" w:cs="宋体"/>
          <w:color w:val="000000" w:themeColor="text1"/>
          <w:sz w:val="21"/>
          <w:szCs w:val="21"/>
          <w:highlight w:val="none"/>
          <w14:textFill>
            <w14:solidFill>
              <w14:schemeClr w14:val="tx1"/>
            </w14:solidFill>
          </w14:textFill>
        </w:rPr>
        <w:t>阻垢机的水质检验</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检测报告（</w:t>
      </w:r>
      <w:r>
        <w:rPr>
          <w:rFonts w:hint="eastAsia" w:ascii="宋体" w:hAnsi="宋体" w:cs="宋体"/>
          <w:color w:val="000000" w:themeColor="text1"/>
          <w:sz w:val="21"/>
          <w:szCs w:val="21"/>
          <w:highlight w:val="none"/>
          <w:lang w:val="en-US" w:eastAsia="zh-CN"/>
          <w14:textFill>
            <w14:solidFill>
              <w14:schemeClr w14:val="tx1"/>
            </w14:solidFill>
          </w14:textFill>
        </w:rPr>
        <w:t>第三方</w:t>
      </w:r>
      <w:r>
        <w:rPr>
          <w:rFonts w:ascii="宋体" w:hAnsi="宋体" w:cs="宋体"/>
          <w:color w:val="000000" w:themeColor="text1"/>
          <w:sz w:val="21"/>
          <w:szCs w:val="21"/>
          <w:highlight w:val="none"/>
          <w14:textFill>
            <w14:solidFill>
              <w14:schemeClr w14:val="tx1"/>
            </w14:solidFill>
          </w14:textFill>
        </w:rPr>
        <w:t>检测机构）</w:t>
      </w:r>
      <w:r>
        <w:rPr>
          <w:rFonts w:hint="eastAsia" w:ascii="宋体" w:hAnsi="宋体" w:cs="宋体"/>
          <w:color w:val="000000" w:themeColor="text1"/>
          <w:sz w:val="21"/>
          <w:szCs w:val="21"/>
          <w:highlight w:val="none"/>
          <w14:textFill>
            <w14:solidFill>
              <w14:schemeClr w14:val="tx1"/>
            </w14:solidFill>
          </w14:textFill>
        </w:rPr>
        <w:t>复印件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扫描件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加盖厂家公章。</w:t>
      </w:r>
    </w:p>
    <w:p>
      <w:pPr>
        <w:spacing w:line="408"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、机组额度功率0≤35W。</w:t>
      </w:r>
    </w:p>
    <w:p>
      <w:pPr>
        <w:spacing w:line="408"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、每小时处理水量≥</w:t>
      </w:r>
      <w:r>
        <w:rPr>
          <w:rFonts w:hint="eastAsia" w:ascii="宋体" w:hAnsi="宋体" w:cs="宋体"/>
          <w:color w:val="000000" w:themeColor="text1"/>
          <w:sz w:val="21"/>
          <w:szCs w:val="21"/>
          <w:highlight w:val="none"/>
          <w:lang w:val="en-US" w:eastAsia="zh-CN"/>
          <w14:textFill>
            <w14:solidFill>
              <w14:schemeClr w14:val="tx1"/>
            </w14:solidFill>
          </w14:textFill>
        </w:rPr>
        <w:t>240</w:t>
      </w:r>
      <w:r>
        <w:rPr>
          <w:rFonts w:ascii="宋体" w:hAnsi="宋体" w:cs="宋体"/>
          <w:color w:val="000000" w:themeColor="text1"/>
          <w:sz w:val="21"/>
          <w:szCs w:val="21"/>
          <w:highlight w:val="none"/>
          <w14:textFill>
            <w14:solidFill>
              <w14:schemeClr w14:val="tx1"/>
            </w14:solidFill>
          </w14:textFill>
        </w:rPr>
        <w:t>L</w:t>
      </w:r>
      <w:r>
        <w:rPr>
          <w:rFonts w:hint="eastAsia" w:ascii="宋体" w:hAnsi="宋体" w:cs="宋体"/>
          <w:color w:val="000000" w:themeColor="text1"/>
          <w:sz w:val="21"/>
          <w:szCs w:val="21"/>
          <w:highlight w:val="none"/>
          <w14:textFill>
            <w14:solidFill>
              <w14:schemeClr w14:val="tx1"/>
            </w14:solidFill>
          </w14:textFill>
        </w:rPr>
        <w:t>/h。</w:t>
      </w:r>
    </w:p>
    <w:p>
      <w:pPr>
        <w:spacing w:line="408" w:lineRule="auto"/>
        <w:ind w:left="48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 xml:space="preserve">、废水排放率为0。                                                                   </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、所有</w:t>
      </w:r>
      <w:r>
        <w:rPr>
          <w:rFonts w:ascii="宋体" w:hAnsi="宋体" w:cs="宋体"/>
          <w:color w:val="000000" w:themeColor="text1"/>
          <w:sz w:val="21"/>
          <w:szCs w:val="21"/>
          <w:highlight w:val="none"/>
          <w14:textFill>
            <w14:solidFill>
              <w14:schemeClr w14:val="tx1"/>
            </w14:solidFill>
          </w14:textFill>
        </w:rPr>
        <w:t>电器元件安装在设备内部，防止无关人员接触防止意外</w:t>
      </w:r>
      <w:r>
        <w:rPr>
          <w:rFonts w:hint="eastAsia" w:ascii="宋体" w:hAnsi="宋体" w:cs="宋体"/>
          <w:color w:val="000000" w:themeColor="text1"/>
          <w:sz w:val="21"/>
          <w:szCs w:val="21"/>
          <w:highlight w:val="non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、设备</w:t>
      </w:r>
      <w:r>
        <w:rPr>
          <w:rFonts w:ascii="宋体" w:hAnsi="宋体" w:cs="宋体"/>
          <w:color w:val="000000" w:themeColor="text1"/>
          <w:sz w:val="21"/>
          <w:szCs w:val="21"/>
          <w:highlight w:val="none"/>
          <w14:textFill>
            <w14:solidFill>
              <w14:schemeClr w14:val="tx1"/>
            </w14:solidFill>
          </w14:textFill>
        </w:rPr>
        <w:t>内部带低液位报警。</w:t>
      </w:r>
      <w:r>
        <w:rPr>
          <w:rFonts w:hint="eastAsia" w:ascii="宋体" w:hAnsi="宋体" w:cs="宋体"/>
          <w:color w:val="000000" w:themeColor="text1"/>
          <w:sz w:val="21"/>
          <w:szCs w:val="21"/>
          <w:highlight w:val="non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设备防水防冻，可以室外</w:t>
      </w:r>
      <w:r>
        <w:rPr>
          <w:rFonts w:hint="eastAsia" w:ascii="宋体" w:hAnsi="宋体" w:cs="宋体"/>
          <w:color w:val="000000" w:themeColor="text1"/>
          <w:sz w:val="21"/>
          <w:szCs w:val="21"/>
          <w:highlight w:val="none"/>
          <w14:textFill>
            <w14:solidFill>
              <w14:schemeClr w14:val="tx1"/>
            </w14:solidFill>
          </w14:textFill>
        </w:rPr>
        <w:t>安装。</w:t>
      </w:r>
    </w:p>
    <w:p>
      <w:pPr>
        <w:pStyle w:val="9"/>
        <w:spacing w:line="360" w:lineRule="auto"/>
        <w:rPr>
          <w:rFonts w:hint="eastAsia" w:hAnsi="宋体" w:cs="宋体"/>
          <w:color w:val="000000" w:themeColor="text1"/>
          <w:sz w:val="21"/>
          <w:szCs w:val="21"/>
          <w:highlight w:val="none"/>
          <w:u w:val="double"/>
          <w:lang w:val="en-US" w:eastAsia="zh-CN"/>
          <w14:textFill>
            <w14:solidFill>
              <w14:schemeClr w14:val="tx1"/>
            </w14:solidFill>
          </w14:textFill>
        </w:rPr>
      </w:pPr>
      <w:r>
        <w:rPr>
          <w:rFonts w:hint="eastAsia" w:hAnsi="宋体" w:cs="宋体"/>
          <w:color w:val="000000" w:themeColor="text1"/>
          <w:sz w:val="21"/>
          <w:szCs w:val="21"/>
          <w:highlight w:val="none"/>
          <w:u w:val="double"/>
          <w:lang w:val="en-US" w:eastAsia="zh-CN"/>
          <w14:textFill>
            <w14:solidFill>
              <w14:schemeClr w14:val="tx1"/>
            </w14:solidFill>
          </w14:textFill>
        </w:rPr>
        <w:t>备注：以上所有项目均须提供相应的第三方出具的检测报告或专利证书或该产品的使用说明书以反映该产品的相关性能，否则不予认可。</w:t>
      </w:r>
    </w:p>
    <w:p>
      <w:pPr>
        <w:pStyle w:val="5"/>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br w:type="page"/>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中标人应严格按照技术要求和国家、部(专业)有关标准生产和检验，确保产品质量。并且完全符合合同规定的质量、规格和性能的要求，并保证产品是全新的、未使用的。</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2中标人保证产品的性能和质量，并在其使用寿命内应具有满意的性能。</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3中标人对产品的质量应按国家和部(专业)颁布的质量标准或验收规范进行验收。</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4在产品使用期内，如因采购人使用不当和保管不善造成的问题，中标人应配合解决，但费用由采购人负担。</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质量保证期内如发生由于制造、工艺或材料缺陷而造成的质量问题，中标人在接到采购人书面通知1日内(以发出日期为准)给予答复，如果中标人对采购人提出的索赔负有责任，中标人应负责修理、更换或退货，并承担由此发生的一切损失和费用。如逾期不予答复和处理，则视为上述索赔已被接受，中标人应承担由此发生的一切损失和费用。</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6售后服务要求：</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6.1 卖方负责对采购人操作人员进行免费的培训(培训费均已包含在合同总价中)；</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6.2在质保期内，卖方对合同约定的质量标准、技术标准负责，在此期间非买方原因出现的货物问题，卖方对货物问题及时提供服务，免费维修、更换损坏部件，并承担由此产生的一切损失；出现问题，服务必须做到24小时服务，省内有维保点的6小时内赶到现场，省内无维保点的12小时内赶到现场，并连续进行直至修复。在上述时限内卖方未赶到，买方可采取必要的补救措施，但其风险和费用由卖方全额承担，买方按合同规定,对卖方行使的其他权利不受影响在质保期外使用寿命内(请注明使用寿命)供方对设备提供终身服务，且对设备的维修只收取材料成本费。</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7中标人提交一份有关质保及售后服务承诺书，至少包括下列内容：</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7.1详细列明供应的货物保修、保养服务的内容、方法和提供的优惠条件。</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 设备材料规格及具体质量要求</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详见采购及安装项目清单中质材、规格、尺寸等相关要求。</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投标人必须对询比文件中所提要求逐项做出实质性应答，任何差异必须列表说明。采购人只接受等同于或优于本技术规格书规定的技术指标和所使用的标准。</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 产品质量必须符合国家有关标准的要求以及国家其他现行有关规范及标准。</w:t>
      </w:r>
    </w:p>
    <w:p>
      <w:pPr>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上述标准、规范及规程仅是本工程的最基本依据，并未包括实施中所涉及的所有标准、规范和规程，且这些标准、规范和规程均应为合同签订之日为止时的最新版本，不限制投标人使用国家现行有效的其他与本次比选货物有关的制造、安装的标准及规范。</w:t>
      </w:r>
    </w:p>
    <w:p>
      <w:pPr>
        <w:pStyle w:val="5"/>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pStyle w:val="5"/>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pStyle w:val="5"/>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pStyle w:val="5"/>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pStyle w:val="5"/>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rPr>
          <w:rFonts w:hint="eastAsia" w:ascii="宋体" w:hAnsi="宋体" w:eastAsia="宋体" w:cs="宋体"/>
          <w:color w:val="000000" w:themeColor="text1"/>
          <w:szCs w:val="22"/>
          <w:highlight w:val="none"/>
          <w14:textFill>
            <w14:solidFill>
              <w14:schemeClr w14:val="tx1"/>
            </w14:solidFill>
          </w14:textFill>
        </w:rPr>
      </w:pPr>
      <w:bookmarkStart w:id="42" w:name="_Toc11084"/>
      <w:r>
        <w:rPr>
          <w:rFonts w:hint="eastAsia" w:ascii="宋体" w:hAnsi="宋体" w:eastAsia="宋体" w:cs="宋体"/>
          <w:color w:val="000000" w:themeColor="text1"/>
          <w:szCs w:val="22"/>
          <w:highlight w:val="none"/>
          <w14:textFill>
            <w14:solidFill>
              <w14:schemeClr w14:val="tx1"/>
            </w14:solidFill>
          </w14:textFill>
        </w:rPr>
        <w:br w:type="page"/>
      </w:r>
    </w:p>
    <w:p>
      <w:pPr>
        <w:pStyle w:val="5"/>
        <w:adjustRightInd w:val="0"/>
        <w:snapToGrid w:val="0"/>
        <w:spacing w:before="0" w:after="0" w:line="288"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第五章  响应文件格式</w:t>
      </w:r>
      <w:bookmarkEnd w:id="37"/>
      <w:bookmarkEnd w:id="38"/>
      <w:bookmarkEnd w:id="39"/>
      <w:bookmarkEnd w:id="40"/>
      <w:bookmarkEnd w:id="41"/>
      <w:bookmarkEnd w:id="42"/>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sectPr>
          <w:headerReference r:id="rId13" w:type="default"/>
          <w:footerReference r:id="rId14" w:type="default"/>
          <w:pgSz w:w="11849" w:h="16781"/>
          <w:pgMar w:top="1134" w:right="1134" w:bottom="1134" w:left="1134" w:header="850" w:footer="992" w:gutter="0"/>
          <w:cols w:space="720" w:num="1"/>
          <w:titlePg/>
          <w:docGrid w:type="lines" w:linePitch="330" w:charSpace="0"/>
        </w:sectPr>
      </w:pPr>
    </w:p>
    <w:p>
      <w:pPr>
        <w:adjustRightInd w:val="0"/>
        <w:snapToGrid w:val="0"/>
        <w:spacing w:line="288" w:lineRule="auto"/>
        <w:rPr>
          <w:rFonts w:ascii="宋体" w:hAnsi="宋体" w:cs="宋体"/>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36"/>
          <w:szCs w:val="36"/>
          <w:highlight w:val="none"/>
          <w:u w:val="single"/>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项目</w:t>
      </w: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50"/>
          <w:szCs w:val="50"/>
          <w:highlight w:val="none"/>
          <w14:textFill>
            <w14:solidFill>
              <w14:schemeClr w14:val="tx1"/>
            </w14:solidFill>
          </w14:textFill>
        </w:rPr>
      </w:pPr>
      <w:r>
        <w:rPr>
          <w:rFonts w:hint="eastAsia" w:ascii="宋体" w:hAnsi="宋体" w:cs="宋体"/>
          <w:color w:val="000000" w:themeColor="text1"/>
          <w:sz w:val="50"/>
          <w:szCs w:val="50"/>
          <w:highlight w:val="none"/>
          <w14:textFill>
            <w14:solidFill>
              <w14:schemeClr w14:val="tx1"/>
            </w14:solidFill>
          </w14:textFill>
        </w:rPr>
        <w:t>响应文件第一个信封（商务及技术文件）</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pStyle w:val="9"/>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9"/>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9"/>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9"/>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9"/>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9"/>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br w:type="page"/>
      </w:r>
      <w:r>
        <w:rPr>
          <w:rFonts w:hint="eastAsia" w:ascii="宋体" w:hAnsi="宋体" w:cs="宋体"/>
          <w:color w:val="000000" w:themeColor="text1"/>
          <w:sz w:val="20"/>
          <w:szCs w:val="20"/>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目     录</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一、响应函</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二、授权委托书或法定代表人身份证明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三、响应保证金格式</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四、供货安装方案</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五、资格审查资料</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六、设备技术性能指标偏差表</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七、公示信息表</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八、其他材料</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sectPr>
          <w:headerReference r:id="rId15" w:type="default"/>
          <w:footerReference r:id="rId16" w:type="default"/>
          <w:footerReference r:id="rId17" w:type="even"/>
          <w:pgSz w:w="11849" w:h="16781"/>
          <w:pgMar w:top="1134" w:right="1134" w:bottom="1134" w:left="1134" w:header="850" w:footer="992" w:gutter="0"/>
          <w:cols w:space="720" w:num="1"/>
          <w:titlePg/>
          <w:docGrid w:type="lines" w:linePitch="330" w:charSpace="0"/>
        </w:sect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一、响应函</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(采购人名称)：</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1.我方已仔细研究</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项目询比文件的全部内容（含补遗书第</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号至第</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号），愿意以</w:t>
      </w:r>
      <w:r>
        <w:rPr>
          <w:rFonts w:hint="eastAsia" w:ascii="宋体" w:hAnsi="宋体" w:cs="宋体"/>
          <w:b/>
          <w:bCs/>
          <w:color w:val="000000" w:themeColor="text1"/>
          <w:highlight w:val="none"/>
          <w:u w:val="single"/>
          <w14:textFill>
            <w14:solidFill>
              <w14:schemeClr w14:val="tx1"/>
            </w14:solidFill>
          </w14:textFill>
        </w:rPr>
        <w:t>第二信封报价文件中的总报价</w:t>
      </w:r>
      <w:r>
        <w:rPr>
          <w:rFonts w:hint="eastAsia" w:ascii="宋体" w:hAnsi="宋体" w:cs="宋体"/>
          <w:color w:val="000000" w:themeColor="text1"/>
          <w:highlight w:val="none"/>
          <w14:textFill>
            <w14:solidFill>
              <w14:schemeClr w14:val="tx1"/>
            </w14:solidFill>
          </w14:textFill>
        </w:rPr>
        <w:t>，遵照询比文件的各项要求，承担</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项目的全部工作。</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2.我方根据询价文件的规定，严格履行合同的责任和义务,并保证于采购人要求的供货期限内完成本项目全部工作。</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3.供货期：</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天；</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4.如我方中标，我方承诺：</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（1）在收到中标通知书后，在中标通知书规定的期限内与你方签订合同；</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（2）在签订合同时不向你方提出附加条件；</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（3）按照询比文件要求提交履约保证金；</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（4）在合同约定的期限内完成合同规定的全部义务；</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5.我方在此声明，所递交的响应文件及有关资料内容完整、真实和准确。</w:t>
      </w:r>
    </w:p>
    <w:p>
      <w:pPr>
        <w:adjustRightInd w:val="0"/>
        <w:snapToGrid w:val="0"/>
        <w:spacing w:line="288"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6.在合同协议书正式签署生效之前，本报价函连同你方的中标通知书将构成我们双方之间共同遵守的文件，对双方具有约束力。</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（其他补充说明）。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网址：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传真：</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邮政编码：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adjustRightInd w:val="0"/>
        <w:snapToGrid w:val="0"/>
        <w:spacing w:line="288" w:lineRule="auto"/>
        <w:ind w:firstLine="4200" w:firstLineChars="1750"/>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二、</w:t>
      </w:r>
      <w:r>
        <w:rPr>
          <w:rFonts w:hint="eastAsia" w:ascii="宋体" w:hAnsi="宋体" w:cs="宋体"/>
          <w:b/>
          <w:color w:val="000000" w:themeColor="text1"/>
          <w:sz w:val="30"/>
          <w:szCs w:val="20"/>
          <w:highlight w:val="none"/>
          <w14:textFill>
            <w14:solidFill>
              <w14:schemeClr w14:val="tx1"/>
            </w14:solidFill>
          </w14:textFill>
        </w:rPr>
        <w:t>授权委托书或法定代表人身份证明</w:t>
      </w:r>
    </w:p>
    <w:p>
      <w:pPr>
        <w:adjustRightInd w:val="0"/>
        <w:snapToGrid w:val="0"/>
        <w:spacing w:line="288"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44"/>
          <w:sz w:val="28"/>
          <w:szCs w:val="28"/>
          <w:highlight w:val="none"/>
          <w14:textFill>
            <w14:solidFill>
              <w14:schemeClr w14:val="tx1"/>
            </w14:solidFill>
          </w14:textFill>
        </w:rPr>
        <w:t>（一）授权委托书</w:t>
      </w:r>
      <w:r>
        <w:rPr>
          <w:rStyle w:val="19"/>
          <w:rFonts w:hint="eastAsia" w:ascii="宋体" w:hAnsi="宋体" w:cs="宋体"/>
          <w:color w:val="000000" w:themeColor="text1"/>
          <w:sz w:val="32"/>
          <w:szCs w:val="32"/>
          <w:highlight w:val="none"/>
          <w14:textFill>
            <w14:solidFill>
              <w14:schemeClr w14:val="tx1"/>
            </w14:solidFill>
          </w14:textFill>
        </w:rPr>
        <w:footnoteReference w:id="0"/>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（姓名）系</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（供应商名称）的法定代表人，现委托</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（姓名）为我方代理人。 代理人根据授权， 以我方名义签署、 澄清、 递交、 撤回、 修改</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项目响应文件、签订合同和处理有关事宜，其法律后果由我方承担。</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委托期限：自本委托书签署之日起至询比有效期期满。</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代理人无转委托权。 </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附：法定代表人身份证复印件及委托代理人身份证复印件</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法定代表人：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身份证号码：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身份证号码：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w:t>
      </w:r>
    </w:p>
    <w:p>
      <w:pPr>
        <w:adjustRightInd w:val="0"/>
        <w:snapToGrid w:val="0"/>
        <w:spacing w:line="288" w:lineRule="auto"/>
        <w:ind w:firstLine="442" w:firstLineChars="20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1.法定代表人和委托代理人必须在授权委托书上亲笔签名，不得使用印章、签名章或其他电子制版签名代替；</w:t>
      </w:r>
    </w:p>
    <w:p>
      <w:pPr>
        <w:adjustRightInd w:val="0"/>
        <w:snapToGrid w:val="0"/>
        <w:spacing w:line="288" w:lineRule="auto"/>
        <w:jc w:val="center"/>
        <w:rPr>
          <w:rFonts w:ascii="宋体" w:hAnsi="宋体" w:cs="宋体"/>
          <w:color w:val="000000" w:themeColor="text1"/>
          <w:sz w:val="28"/>
          <w:szCs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 w:val="28"/>
          <w:szCs w:val="20"/>
          <w:highlight w:val="none"/>
          <w14:textFill>
            <w14:solidFill>
              <w14:schemeClr w14:val="tx1"/>
            </w14:solidFill>
          </w14:textFill>
        </w:rPr>
        <w:t>（二）法定代表人身份证明</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r>
        <w:rPr>
          <w:rFonts w:hint="eastAsia" w:ascii="宋体" w:hAnsi="宋体" w:cs="宋体"/>
          <w:b/>
          <w:bCs/>
          <w:color w:val="000000" w:themeColor="text1"/>
          <w:highlight w:val="none"/>
          <w:u w:val="single"/>
          <w14:textFill>
            <w14:solidFill>
              <w14:schemeClr w14:val="tx1"/>
            </w14:solidFill>
          </w14:textFill>
        </w:rPr>
        <w:t>（法定代表人亲笔签名）</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性别：</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年龄：</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职务：</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（供应商名称）的法定代表人。</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特此证明。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附：法定代表人身份证复印件。</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42" w:firstLineChars="20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1.法定代表人必须在法定代表人身份证明上亲笔签名，不得使用印章、签名章或其他电子制版签名代替；</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sectPr>
          <w:footerReference r:id="rId18" w:type="default"/>
          <w:footerReference r:id="rId19" w:type="even"/>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adjustRightInd w:val="0"/>
        <w:snapToGrid w:val="0"/>
        <w:spacing w:line="288" w:lineRule="auto"/>
        <w:ind w:firstLine="3240" w:firstLineChars="1200"/>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三、响应保证金格式</w:t>
      </w:r>
    </w:p>
    <w:p>
      <w:pPr>
        <w:adjustRightInd w:val="0"/>
        <w:snapToGrid w:val="0"/>
        <w:spacing w:line="288" w:lineRule="auto"/>
        <w:jc w:val="center"/>
        <w:rPr>
          <w:rFonts w:ascii="宋体" w:hAnsi="宋体" w:cs="宋体"/>
          <w:color w:val="000000" w:themeColor="text1"/>
          <w:sz w:val="23"/>
          <w:szCs w:val="23"/>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供应商应在此提供电汇回单或转账凭据的复印件。</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37"/>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37"/>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37"/>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7"/>
          <w:szCs w:val="27"/>
          <w:highlight w:val="none"/>
          <w14:textFill>
            <w14:solidFill>
              <w14:schemeClr w14:val="tx1"/>
            </w14:solidFill>
          </w14:textFill>
        </w:rPr>
        <w:sectPr>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四、供货安装方案</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供货安装方案应包括但不限于以下内容：</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（1）采购工作的总体概况和特点概述。</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（2）项目需求分析。</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（3）产品供货能力。</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（4）售后服务计划：</w:t>
      </w:r>
    </w:p>
    <w:p>
      <w:pPr>
        <w:adjustRightInd w:val="0"/>
        <w:snapToGrid w:val="0"/>
        <w:spacing w:line="288" w:lineRule="auto"/>
        <w:ind w:firstLine="72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a质量保修承诺</w:t>
      </w:r>
    </w:p>
    <w:p>
      <w:pPr>
        <w:adjustRightInd w:val="0"/>
        <w:snapToGrid w:val="0"/>
        <w:spacing w:line="288" w:lineRule="auto"/>
        <w:ind w:firstLine="72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b维修的便利性与技术服务能力</w:t>
      </w:r>
    </w:p>
    <w:p>
      <w:pPr>
        <w:adjustRightInd w:val="0"/>
        <w:snapToGrid w:val="0"/>
        <w:spacing w:line="288" w:lineRule="auto"/>
        <w:ind w:firstLine="72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c售后服务体系、售后服务标准及计划、服务网点等</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（5）其他相关内容。</w:t>
      </w:r>
    </w:p>
    <w:p>
      <w:pPr>
        <w:tabs>
          <w:tab w:val="left" w:pos="8647"/>
        </w:tabs>
        <w:autoSpaceDE w:val="0"/>
        <w:autoSpaceDN w:val="0"/>
        <w:adjustRightInd w:val="0"/>
        <w:snapToGrid w:val="0"/>
        <w:spacing w:line="288" w:lineRule="auto"/>
        <w:ind w:firstLine="484" w:firstLineChars="202"/>
        <w:textAlignment w:val="baseline"/>
        <w:rPr>
          <w:rFonts w:ascii="宋体" w:hAnsi="宋体" w:cs="宋体"/>
          <w:color w:val="000000" w:themeColor="text1"/>
          <w:szCs w:val="21"/>
          <w:highlight w:val="none"/>
          <w14:textFill>
            <w14:solidFill>
              <w14:schemeClr w14:val="tx1"/>
            </w14:solidFill>
          </w14:textFill>
        </w:rPr>
      </w:pPr>
    </w:p>
    <w:p>
      <w:pPr>
        <w:tabs>
          <w:tab w:val="left" w:pos="8647"/>
        </w:tabs>
        <w:autoSpaceDE w:val="0"/>
        <w:autoSpaceDN w:val="0"/>
        <w:adjustRightInd w:val="0"/>
        <w:snapToGrid w:val="0"/>
        <w:spacing w:line="288" w:lineRule="auto"/>
        <w:ind w:firstLine="484" w:firstLineChars="202"/>
        <w:textAlignment w:val="baseline"/>
        <w:rPr>
          <w:rFonts w:ascii="宋体" w:hAnsi="宋体" w:cs="宋体"/>
          <w:color w:val="000000" w:themeColor="text1"/>
          <w:szCs w:val="21"/>
          <w:highlight w:val="none"/>
          <w14:textFill>
            <w14:solidFill>
              <w14:schemeClr w14:val="tx1"/>
            </w14:solidFill>
          </w14:textFill>
        </w:rPr>
        <w:sectPr>
          <w:headerReference r:id="rId20" w:type="first"/>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topLinePunct/>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五、资格审查资料</w:t>
      </w:r>
    </w:p>
    <w:p>
      <w:pPr>
        <w:topLinePunct/>
        <w:adjustRightInd w:val="0"/>
        <w:snapToGrid w:val="0"/>
        <w:spacing w:line="288"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（一）供应商基本情况表</w:t>
      </w:r>
    </w:p>
    <w:tbl>
      <w:tblPr>
        <w:tblStyle w:val="16"/>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900"/>
        <w:gridCol w:w="900"/>
        <w:gridCol w:w="1050"/>
        <w:gridCol w:w="568"/>
        <w:gridCol w:w="1442"/>
        <w:gridCol w:w="1619"/>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注册地址</w:t>
            </w:r>
          </w:p>
        </w:tc>
        <w:tc>
          <w:tcPr>
            <w:tcW w:w="3418" w:type="dxa"/>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p>
        </w:tc>
        <w:tc>
          <w:tcPr>
            <w:tcW w:w="90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（须部门负责人及以上）</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（须工商注册地固定电话）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（须工商注册地传真）</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电子邮件</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c>
          <w:tcPr>
            <w:tcW w:w="90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p>
        </w:tc>
        <w:tc>
          <w:tcPr>
            <w:tcW w:w="90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技术职称</w:t>
            </w:r>
          </w:p>
        </w:tc>
        <w:tc>
          <w:tcPr>
            <w:tcW w:w="1442"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126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成立时间</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5939" w:type="dxa"/>
            <w:gridSpan w:val="5"/>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ind w:firstLine="120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企业资质等级</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高级职称人员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营业执照号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注册资本</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初级职称人员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基本账户账号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right w:val="single" w:color="auto" w:sz="4" w:space="0"/>
            </w:tcBorders>
            <w:vAlign w:val="center"/>
          </w:tcPr>
          <w:p>
            <w:pPr>
              <w:topLinePunct/>
              <w:adjustRightInd w:val="0"/>
              <w:snapToGrid w:val="0"/>
              <w:spacing w:line="288" w:lineRule="auto"/>
              <w:ind w:firstLine="240" w:firstLineChars="1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经营范围</w:t>
            </w:r>
          </w:p>
        </w:tc>
        <w:tc>
          <w:tcPr>
            <w:tcW w:w="7739" w:type="dxa"/>
            <w:gridSpan w:val="7"/>
            <w:tcBorders>
              <w:top w:val="single" w:color="auto" w:sz="4" w:space="0"/>
              <w:left w:val="single" w:color="auto" w:sz="4" w:space="0"/>
              <w:right w:val="single" w:color="auto" w:sz="4" w:space="0"/>
            </w:tcBorders>
            <w:vAlign w:val="center"/>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供应商关联企业情况</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bl>
    <w:p>
      <w:pPr>
        <w:adjustRightInd w:val="0"/>
        <w:snapToGrid w:val="0"/>
        <w:spacing w:line="288" w:lineRule="auto"/>
        <w:ind w:left="323" w:hanging="323" w:hangingChars="134"/>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注：在本表后应附：</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1.（1）企业法人营业执照副本和组织机构代码证副本（按照“三证合一”或“五证合一”登记制度进行登记的，可仅提供营业执照副本）的复印件；</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（2）资质证书副本的复印件（如需要）；</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（3）基本账户开户许可证的复印件；</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上述复印件应提供全本（证书封面、封底、空白页除外），应包括供应商名称、供应商其他相关信息、颁发机构名称、供应商信息变更情况等关键页在内，并逐页加盖供应商单位章。</w:t>
      </w:r>
    </w:p>
    <w:p>
      <w:pPr>
        <w:adjustRightInd w:val="0"/>
        <w:snapToGrid w:val="0"/>
        <w:spacing w:line="288" w:lineRule="auto"/>
        <w:ind w:firstLine="157" w:firstLineChars="65"/>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2.供应商企业简介。</w:t>
      </w:r>
    </w:p>
    <w:p>
      <w:pPr>
        <w:adjustRightInd w:val="0"/>
        <w:snapToGrid w:val="0"/>
        <w:spacing w:line="288" w:lineRule="auto"/>
        <w:rPr>
          <w:rFonts w:ascii="宋体" w:hAnsi="宋体" w:cs="宋体"/>
          <w:color w:val="000000" w:themeColor="text1"/>
          <w:highlight w:val="none"/>
          <w14:textFill>
            <w14:solidFill>
              <w14:schemeClr w14:val="tx1"/>
            </w14:solidFill>
          </w14:textFill>
        </w:rPr>
        <w:sectPr>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topLinePunct/>
        <w:adjustRightInd w:val="0"/>
        <w:snapToGrid w:val="0"/>
        <w:spacing w:line="288" w:lineRule="auto"/>
        <w:rPr>
          <w:rFonts w:ascii="宋体" w:hAnsi="宋体" w:cs="宋体"/>
          <w:color w:val="000000" w:themeColor="text1"/>
          <w:sz w:val="20"/>
          <w:highlight w:val="none"/>
          <w14:textFill>
            <w14:solidFill>
              <w14:schemeClr w14:val="tx1"/>
            </w14:solidFill>
          </w14:textFill>
        </w:rPr>
      </w:pPr>
    </w:p>
    <w:p>
      <w:pPr>
        <w:widowControl/>
        <w:autoSpaceDE w:val="0"/>
        <w:autoSpaceDN w:val="0"/>
        <w:adjustRightInd w:val="0"/>
        <w:snapToGrid w:val="0"/>
        <w:spacing w:line="288" w:lineRule="auto"/>
        <w:jc w:val="center"/>
        <w:textAlignment w:val="bottom"/>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sz w:val="28"/>
          <w:szCs w:val="28"/>
          <w:highlight w:val="none"/>
          <w14:textFill>
            <w14:solidFill>
              <w14:schemeClr w14:val="tx1"/>
            </w14:solidFill>
          </w14:textFill>
        </w:rPr>
        <w:t xml:space="preserve"> 近年完成的类似项目情况表</w:t>
      </w:r>
    </w:p>
    <w:p>
      <w:pPr>
        <w:widowControl/>
        <w:autoSpaceDE w:val="0"/>
        <w:autoSpaceDN w:val="0"/>
        <w:adjustRightInd w:val="0"/>
        <w:snapToGrid w:val="0"/>
        <w:spacing w:line="288" w:lineRule="auto"/>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项目所在地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发包人名称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发包人地址</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发包人电话</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合同价格</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合同服务期限</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实际完成日期</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承担的工作</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项目描述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bl>
    <w:p>
      <w:pPr>
        <w:adjustRightInd w:val="0"/>
        <w:snapToGrid w:val="0"/>
        <w:spacing w:line="288"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注：</w:t>
      </w:r>
    </w:p>
    <w:p>
      <w:pPr>
        <w:adjustRightInd w:val="0"/>
        <w:snapToGrid w:val="0"/>
        <w:spacing w:line="288" w:lineRule="auto"/>
        <w:ind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1.每张表只填写一个项目，并标明序号；</w:t>
      </w:r>
    </w:p>
    <w:p>
      <w:pPr>
        <w:adjustRightInd w:val="0"/>
        <w:snapToGrid w:val="0"/>
        <w:spacing w:line="288" w:lineRule="auto"/>
        <w:ind w:firstLine="56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2.本表后应附以下业绩证明材料，否则业绩不予认可。</w:t>
      </w:r>
      <w:r>
        <w:rPr>
          <w:rFonts w:hint="eastAsia" w:ascii="宋体" w:hAnsi="宋体" w:cs="宋体"/>
          <w:b/>
          <w:color w:val="000000" w:themeColor="text1"/>
          <w:highlight w:val="none"/>
          <w14:textFill>
            <w14:solidFill>
              <w14:schemeClr w14:val="tx1"/>
            </w14:solidFill>
          </w14:textFill>
        </w:rPr>
        <w:t xml:space="preserve"> </w:t>
      </w:r>
    </w:p>
    <w:p>
      <w:pPr>
        <w:tabs>
          <w:tab w:val="left" w:pos="851"/>
        </w:tabs>
        <w:snapToGrid w:val="0"/>
        <w:spacing w:line="360"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合同复印件（</w:t>
      </w:r>
      <w:r>
        <w:rPr>
          <w:rFonts w:hint="eastAsia" w:ascii="宋体" w:hAnsi="宋体" w:cs="宋体"/>
          <w:color w:val="000000" w:themeColor="text1"/>
          <w:sz w:val="28"/>
          <w:szCs w:val="28"/>
          <w:highlight w:val="none"/>
          <w:lang w:val="en-US" w:eastAsia="zh-CN"/>
          <w14:textFill>
            <w14:solidFill>
              <w14:schemeClr w14:val="tx1"/>
            </w14:solidFill>
          </w14:textFill>
        </w:rPr>
        <w:t>时间以合同签订时间为准，</w:t>
      </w:r>
      <w:r>
        <w:rPr>
          <w:rFonts w:hint="eastAsia" w:ascii="宋体" w:hAnsi="宋体" w:cs="宋体"/>
          <w:color w:val="000000" w:themeColor="text1"/>
          <w:sz w:val="28"/>
          <w:szCs w:val="28"/>
          <w:highlight w:val="none"/>
          <w14:textFill>
            <w14:solidFill>
              <w14:schemeClr w14:val="tx1"/>
            </w14:solidFill>
          </w14:textFill>
        </w:rPr>
        <w:t>合同内容须包含商用电开水器，若合同内容无法体现，须提供相关业主证明说明该合同所供货物包含商用电开水器，否则该项业绩不予认可</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无签订日期的合同为无效合同</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ab/>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3.如近年来，投标人法人机构发生合法变更或重组或法人名称变更时，应提供相关部门的合法批件或其他相关证明材料来证明其所附业绩的继承性。</w:t>
      </w:r>
    </w:p>
    <w:p>
      <w:pPr>
        <w:widowControl/>
        <w:autoSpaceDE w:val="0"/>
        <w:autoSpaceDN w:val="0"/>
        <w:adjustRightInd w:val="0"/>
        <w:snapToGrid w:val="0"/>
        <w:spacing w:line="288" w:lineRule="auto"/>
        <w:textAlignment w:val="bottom"/>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供应商的信誉情况承诺</w:t>
      </w:r>
    </w:p>
    <w:p>
      <w:pPr>
        <w:adjustRightInd w:val="0"/>
        <w:snapToGrid w:val="0"/>
        <w:spacing w:line="288" w:lineRule="auto"/>
        <w:contextualSpacing/>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p>
    <w:p>
      <w:pPr>
        <w:pStyle w:val="21"/>
        <w:adjustRightInd w:val="0"/>
        <w:snapToGrid w:val="0"/>
        <w:spacing w:line="288" w:lineRule="auto"/>
        <w:ind w:left="0" w:right="0" w:firstLine="442" w:firstLineChars="200"/>
        <w:jc w:val="center"/>
        <w:outlineLvl w:val="9"/>
        <w:rPr>
          <w:rFonts w:ascii="宋体" w:hAnsi="宋体" w:eastAsia="宋体" w:cs="宋体"/>
          <w:color w:val="000000" w:themeColor="text1"/>
          <w:kern w:val="2"/>
          <w:sz w:val="22"/>
          <w:szCs w:val="22"/>
          <w:highlight w:val="none"/>
          <w:lang w:eastAsia="zh-CN"/>
          <w14:textFill>
            <w14:solidFill>
              <w14:schemeClr w14:val="tx1"/>
            </w14:solidFill>
          </w14:textFill>
        </w:rPr>
      </w:pPr>
      <w:r>
        <w:rPr>
          <w:rFonts w:hint="eastAsia" w:ascii="宋体" w:hAnsi="宋体" w:eastAsia="宋体" w:cs="宋体"/>
          <w:color w:val="000000" w:themeColor="text1"/>
          <w:kern w:val="2"/>
          <w:sz w:val="22"/>
          <w:szCs w:val="22"/>
          <w:highlight w:val="none"/>
          <w:lang w:eastAsia="zh-CN"/>
          <w14:textFill>
            <w14:solidFill>
              <w14:schemeClr w14:val="tx1"/>
            </w14:solidFill>
          </w14:textFill>
        </w:rPr>
        <w:t>承诺书</w:t>
      </w:r>
    </w:p>
    <w:p>
      <w:pPr>
        <w:pStyle w:val="9"/>
        <w:adjustRightInd w:val="0"/>
        <w:snapToGrid w:val="0"/>
        <w:spacing w:line="288" w:lineRule="auto"/>
        <w:ind w:firstLine="440" w:firstLineChars="200"/>
        <w:rPr>
          <w:rFonts w:hAnsi="宋体" w:cs="宋体"/>
          <w:color w:val="000000" w:themeColor="text1"/>
          <w:sz w:val="22"/>
          <w:szCs w:val="22"/>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安徽省驿达高速公路服务区经营管理有限公司：</w:t>
      </w:r>
    </w:p>
    <w:p>
      <w:pPr>
        <w:pStyle w:val="15"/>
        <w:adjustRightInd w:val="0"/>
        <w:snapToGrid w:val="0"/>
        <w:spacing w:before="0" w:beforeAutospacing="0" w:after="0" w:afterAutospacing="0" w:line="288" w:lineRule="auto"/>
        <w:ind w:firstLine="440" w:firstLineChars="200"/>
        <w:textAlignment w:val="baseline"/>
        <w:rPr>
          <w:rFonts w:cs="宋体"/>
          <w:color w:val="000000" w:themeColor="text1"/>
          <w:kern w:val="2"/>
          <w:sz w:val="22"/>
          <w:szCs w:val="22"/>
          <w:highlight w:val="none"/>
          <w14:textFill>
            <w14:solidFill>
              <w14:schemeClr w14:val="tx1"/>
            </w14:solidFill>
          </w14:textFill>
        </w:rPr>
      </w:pPr>
      <w:r>
        <w:rPr>
          <w:rFonts w:hint="eastAsia" w:cs="宋体"/>
          <w:color w:val="000000" w:themeColor="text1"/>
          <w:kern w:val="2"/>
          <w:sz w:val="22"/>
          <w:szCs w:val="22"/>
          <w:highlight w:val="none"/>
          <w14:textFill>
            <w14:solidFill>
              <w14:schemeClr w14:val="tx1"/>
            </w14:solidFill>
          </w14:textFill>
        </w:rPr>
        <w:t>我方具备本次询比文件中要求的信誉要求，我方没有被责令停业，暂扣或吊销执照，或吊销资质证书；没有进入清算程序，或被宣告破产，或其他丧失履约能力的情形；没有在国家企业信用信息公示系统中被列入严重违法失信企业名单（http://www.gsxt.gov.cn）；没有</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cs="宋体"/>
          <w:color w:val="000000" w:themeColor="text1"/>
          <w:kern w:val="2"/>
          <w:sz w:val="22"/>
          <w:szCs w:val="22"/>
          <w:highlight w:val="none"/>
          <w14:textFill>
            <w14:solidFill>
              <w14:schemeClr w14:val="tx1"/>
            </w14:solidFill>
          </w14:textFill>
        </w:rPr>
        <w:t>在“信用中国”网站中被列入失信被执行人名单（http://w</w:t>
      </w:r>
      <w:r>
        <w:rPr>
          <w:rFonts w:hint="eastAsia" w:cs="宋体"/>
          <w:color w:val="000000" w:themeColor="text1"/>
          <w:kern w:val="2"/>
          <w:sz w:val="22"/>
          <w:szCs w:val="22"/>
          <w:highlight w:val="none"/>
          <w14:textFill>
            <w14:solidFill>
              <w14:schemeClr w14:val="tx1"/>
            </w14:solidFill>
          </w14:textFill>
        </w:rPr>
        <w:fldChar w:fldCharType="end"/>
      </w:r>
      <w:r>
        <w:rPr>
          <w:rFonts w:hint="eastAsia" w:cs="宋体"/>
          <w:color w:val="000000" w:themeColor="text1"/>
          <w:kern w:val="2"/>
          <w:sz w:val="22"/>
          <w:szCs w:val="22"/>
          <w:highlight w:val="none"/>
          <w14:textFill>
            <w14:solidFill>
              <w14:schemeClr w14:val="tx1"/>
            </w14:solidFill>
          </w14:textFill>
        </w:rPr>
        <w:t>w</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cs="宋体"/>
          <w:color w:val="000000" w:themeColor="text1"/>
          <w:kern w:val="2"/>
          <w:sz w:val="22"/>
          <w:szCs w:val="22"/>
          <w:highlight w:val="none"/>
          <w14:textFill>
            <w14:solidFill>
              <w14:schemeClr w14:val="tx1"/>
            </w14:solidFill>
          </w14:textFill>
        </w:rPr>
        <w:t>w.creditchina.gov.c</w:t>
      </w:r>
      <w:r>
        <w:rPr>
          <w:rFonts w:hint="eastAsia" w:cs="宋体"/>
          <w:color w:val="000000" w:themeColor="text1"/>
          <w:kern w:val="2"/>
          <w:sz w:val="22"/>
          <w:szCs w:val="22"/>
          <w:highlight w:val="none"/>
          <w14:textFill>
            <w14:solidFill>
              <w14:schemeClr w14:val="tx1"/>
            </w14:solidFill>
          </w14:textFill>
        </w:rPr>
        <w:fldChar w:fldCharType="end"/>
      </w:r>
      <w:r>
        <w:rPr>
          <w:rFonts w:hint="eastAsia" w:cs="宋体"/>
          <w:color w:val="000000" w:themeColor="text1"/>
          <w:kern w:val="2"/>
          <w:sz w:val="22"/>
          <w:szCs w:val="22"/>
          <w:highlight w:val="none"/>
          <w14:textFill>
            <w14:solidFill>
              <w14:schemeClr w14:val="tx1"/>
            </w14:solidFill>
          </w14:textFill>
        </w:rPr>
        <w:t>n）；供应商法定代表人和项目负责人近3年（2016年1月至今）内无行贿犯罪行为记录；没有法律法规规定的其他情形。</w:t>
      </w:r>
    </w:p>
    <w:p>
      <w:pPr>
        <w:tabs>
          <w:tab w:val="left" w:pos="-1680"/>
        </w:tabs>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我们在此申明：上述承诺如有虚假，我方对此负法律责任。</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ind w:firstLine="48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供应商：（加盖公章）</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1680"/>
        </w:tabs>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ind w:firstLine="48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法定代表人或其授权的代理人（签字）</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1680"/>
        </w:tabs>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tabs>
          <w:tab w:val="left" w:pos="-1680"/>
        </w:tabs>
        <w:adjustRightInd w:val="0"/>
        <w:snapToGrid w:val="0"/>
        <w:spacing w:line="288" w:lineRule="auto"/>
        <w:ind w:firstLine="4320" w:firstLineChars="1800"/>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ind w:firstLine="4320" w:firstLineChars="18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keepNext/>
        <w:keepLines/>
        <w:adjustRightInd w:val="0"/>
        <w:snapToGrid w:val="0"/>
        <w:spacing w:line="288" w:lineRule="auto"/>
        <w:jc w:val="center"/>
        <w:outlineLvl w:val="1"/>
        <w:rPr>
          <w:rFonts w:ascii="宋体" w:hAnsi="宋体" w:cs="宋体"/>
          <w:color w:val="000000" w:themeColor="text1"/>
          <w:highlight w:val="none"/>
          <w14:textFill>
            <w14:solidFill>
              <w14:schemeClr w14:val="tx1"/>
            </w14:solidFill>
          </w14:textFill>
        </w:rPr>
        <w:sectPr>
          <w:pgSz w:w="11849" w:h="16781"/>
          <w:pgMar w:top="1134" w:right="1134" w:bottom="1134" w:left="1134" w:header="850" w:footer="992" w:gutter="0"/>
          <w:cols w:space="720" w:num="1"/>
          <w:titlePg/>
          <w:docGrid w:type="lines" w:linePitch="330" w:charSpace="0"/>
        </w:sect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六、设备技术性能指标偏差表</w:t>
      </w:r>
    </w:p>
    <w:p>
      <w:pPr>
        <w:adjustRightInd w:val="0"/>
        <w:snapToGrid w:val="0"/>
        <w:spacing w:line="288" w:lineRule="auto"/>
        <w:jc w:val="center"/>
        <w:rPr>
          <w:rFonts w:ascii="宋体" w:hAnsi="宋体" w:cs="宋体"/>
          <w:b/>
          <w:bCs/>
          <w:color w:val="000000" w:themeColor="text1"/>
          <w:sz w:val="22"/>
          <w:szCs w:val="20"/>
          <w:highlight w:val="none"/>
          <w14:textFill>
            <w14:solidFill>
              <w14:schemeClr w14:val="tx1"/>
            </w14:solidFill>
          </w14:textFill>
        </w:rPr>
      </w:pPr>
    </w:p>
    <w:tbl>
      <w:tblPr>
        <w:tblStyle w:val="16"/>
        <w:tblW w:w="4994"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2"/>
        <w:gridCol w:w="5736"/>
        <w:gridCol w:w="2436"/>
        <w:gridCol w:w="8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415" w:type="pct"/>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930" w:type="pct"/>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需方技术参数要求</w:t>
            </w:r>
          </w:p>
        </w:tc>
        <w:tc>
          <w:tcPr>
            <w:tcW w:w="1244" w:type="pct"/>
            <w:vAlign w:val="center"/>
          </w:tcPr>
          <w:p>
            <w:pPr>
              <w:adjustRightInd w:val="0"/>
              <w:snapToGrid w:val="0"/>
              <w:spacing w:line="288"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kern w:val="0"/>
                <w:sz w:val="22"/>
                <w:szCs w:val="20"/>
                <w:highlight w:val="none"/>
                <w14:textFill>
                  <w14:solidFill>
                    <w14:schemeClr w14:val="tx1"/>
                  </w14:solidFill>
                </w14:textFill>
              </w:rPr>
              <w:t>供方响应</w:t>
            </w:r>
          </w:p>
        </w:tc>
        <w:tc>
          <w:tcPr>
            <w:tcW w:w="409" w:type="pct"/>
            <w:vAlign w:val="center"/>
          </w:tcPr>
          <w:p>
            <w:pPr>
              <w:adjustRightInd w:val="0"/>
              <w:snapToGrid w:val="0"/>
              <w:spacing w:line="288"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kern w:val="0"/>
                <w:sz w:val="22"/>
                <w:szCs w:val="20"/>
                <w:highlight w:val="none"/>
                <w14:textFill>
                  <w14:solidFill>
                    <w14:schemeClr w14:val="tx1"/>
                  </w14:solidFill>
                </w14:textFill>
              </w:rPr>
              <w:t>偏差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5"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930" w:type="pct"/>
          </w:tcPr>
          <w:p>
            <w:pPr>
              <w:adjustRightInd w:val="0"/>
              <w:snapToGrid w:val="0"/>
              <w:spacing w:line="288"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需方要求  （</w:t>
            </w:r>
            <w:r>
              <w:rPr>
                <w:rFonts w:hint="eastAsia" w:ascii="宋体" w:hAnsi="宋体" w:cs="宋体"/>
                <w:b/>
                <w:color w:val="000000" w:themeColor="text1"/>
                <w:szCs w:val="21"/>
                <w:highlight w:val="none"/>
                <w:lang w:val="en-US" w:eastAsia="zh-CN"/>
                <w14:textFill>
                  <w14:solidFill>
                    <w14:schemeClr w14:val="tx1"/>
                  </w14:solidFill>
                </w14:textFill>
              </w:rPr>
              <w:t>请按照第四章</w:t>
            </w:r>
            <w:r>
              <w:rPr>
                <w:rFonts w:hint="eastAsia" w:ascii="宋体" w:hAnsi="宋体" w:cs="宋体"/>
                <w:b/>
                <w:color w:val="000000" w:themeColor="text1"/>
                <w:szCs w:val="21"/>
                <w:highlight w:val="none"/>
                <w14:textFill>
                  <w14:solidFill>
                    <w14:schemeClr w14:val="tx1"/>
                  </w14:solidFill>
                </w14:textFill>
              </w:rPr>
              <w:t>设备关键技术参数</w:t>
            </w:r>
            <w:r>
              <w:rPr>
                <w:rFonts w:hint="eastAsia" w:ascii="宋体" w:hAnsi="宋体" w:cs="宋体"/>
                <w:b/>
                <w:color w:val="000000" w:themeColor="text1"/>
                <w:szCs w:val="21"/>
                <w:highlight w:val="none"/>
                <w:lang w:val="en-US" w:eastAsia="zh-CN"/>
                <w14:textFill>
                  <w14:solidFill>
                    <w14:schemeClr w14:val="tx1"/>
                  </w14:solidFill>
                </w14:textFill>
              </w:rPr>
              <w:t>中开水器和阻垢机的参数要求自行填写</w:t>
            </w:r>
            <w:r>
              <w:rPr>
                <w:rFonts w:ascii="宋体" w:hAnsi="宋体" w:cs="宋体"/>
                <w:b/>
                <w:color w:val="000000" w:themeColor="text1"/>
                <w:szCs w:val="21"/>
                <w:highlight w:val="none"/>
                <w14:textFill>
                  <w14:solidFill>
                    <w14:schemeClr w14:val="tx1"/>
                  </w14:solidFill>
                </w14:textFill>
              </w:rPr>
              <w:t>）</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9"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5" w:type="pct"/>
          </w:tcPr>
          <w:p>
            <w:pPr>
              <w:adjustRightInd w:val="0"/>
              <w:snapToGrid w:val="0"/>
              <w:spacing w:line="288"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一</w:t>
            </w:r>
          </w:p>
        </w:tc>
        <w:tc>
          <w:tcPr>
            <w:tcW w:w="2930" w:type="pct"/>
            <w:vAlign w:val="center"/>
          </w:tcPr>
          <w:p>
            <w:pPr>
              <w:spacing w:line="408" w:lineRule="auto"/>
              <w:ind w:firstLine="420" w:firstLineChars="200"/>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开水器：</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9"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5"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c>
          <w:tcPr>
            <w:tcW w:w="2930" w:type="pct"/>
            <w:vAlign w:val="center"/>
          </w:tcPr>
          <w:p>
            <w:p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提供拟投型号的商用电</w:t>
            </w:r>
            <w:r>
              <w:rPr>
                <w:rFonts w:hint="eastAsia" w:ascii="宋体" w:hAnsi="宋体" w:cs="宋体"/>
                <w:color w:val="000000" w:themeColor="text1"/>
                <w:sz w:val="21"/>
                <w:szCs w:val="21"/>
                <w:highlight w:val="none"/>
                <w14:textFill>
                  <w14:solidFill>
                    <w14:schemeClr w14:val="tx1"/>
                  </w14:solidFill>
                </w14:textFill>
              </w:rPr>
              <w:t>开水器</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中国节能产品认证证书复印件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扫描件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加盖厂家</w:t>
            </w:r>
            <w:r>
              <w:rPr>
                <w:rFonts w:ascii="宋体" w:hAnsi="宋体" w:cs="宋体"/>
                <w:color w:val="000000" w:themeColor="text1"/>
                <w:sz w:val="21"/>
                <w:szCs w:val="21"/>
                <w:highlight w:val="none"/>
                <w14:textFill>
                  <w14:solidFill>
                    <w14:schemeClr w14:val="tx1"/>
                  </w14:solidFill>
                </w14:textFill>
              </w:rPr>
              <w:t>公章</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9"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5"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2930" w:type="pct"/>
            <w:vAlign w:val="center"/>
          </w:tcPr>
          <w:p>
            <w:pPr>
              <w:pStyle w:val="22"/>
              <w:numPr>
                <w:ilvl w:val="0"/>
                <w:numId w:val="0"/>
              </w:num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开水器为“即开即用，不使用不耗电，瞬间出开水，采用连续式、即热（</w:t>
            </w:r>
            <w:r>
              <w:rPr>
                <w:rFonts w:hint="eastAsia" w:ascii="宋体" w:hAnsi="宋体" w:cs="宋体"/>
                <w:color w:val="000000" w:themeColor="text1"/>
                <w:sz w:val="21"/>
                <w:szCs w:val="21"/>
                <w:highlight w:val="none"/>
                <w:lang w:val="en-US" w:eastAsia="zh-CN"/>
                <w14:textFill>
                  <w14:solidFill>
                    <w14:schemeClr w14:val="tx1"/>
                  </w14:solidFill>
                </w14:textFill>
              </w:rPr>
              <w:t>开</w:t>
            </w:r>
            <w:r>
              <w:rPr>
                <w:rFonts w:hint="eastAsia" w:ascii="宋体" w:hAnsi="宋体" w:cs="宋体"/>
                <w:color w:val="000000" w:themeColor="text1"/>
                <w:sz w:val="21"/>
                <w:szCs w:val="21"/>
                <w:highlight w:val="none"/>
                <w:lang w:eastAsia="zh-CN"/>
                <w14:textFill>
                  <w14:solidFill>
                    <w14:schemeClr w14:val="tx1"/>
                  </w14:solidFill>
                </w14:textFill>
              </w:rPr>
              <w:t>）式加热技术”</w:t>
            </w:r>
            <w:r>
              <w:rPr>
                <w:rFonts w:hint="eastAsia" w:ascii="宋体" w:hAnsi="宋体" w:cs="宋体"/>
                <w:color w:val="000000" w:themeColor="text1"/>
                <w:sz w:val="21"/>
                <w:szCs w:val="21"/>
                <w:highlight w:val="non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9"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5"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2930" w:type="pct"/>
            <w:vAlign w:val="center"/>
          </w:tcPr>
          <w:p>
            <w:pPr>
              <w:pStyle w:val="22"/>
              <w:numPr>
                <w:ilvl w:val="0"/>
                <w:numId w:val="0"/>
              </w:num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功率≤</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KW，持续</w:t>
            </w:r>
            <w:r>
              <w:rPr>
                <w:rFonts w:ascii="宋体" w:hAnsi="宋体" w:cs="宋体"/>
                <w:color w:val="000000" w:themeColor="text1"/>
                <w:sz w:val="21"/>
                <w:szCs w:val="21"/>
                <w:highlight w:val="none"/>
                <w14:textFill>
                  <w14:solidFill>
                    <w14:schemeClr w14:val="tx1"/>
                  </w14:solidFill>
                </w14:textFill>
              </w:rPr>
              <w:t>供应</w:t>
            </w:r>
            <w:r>
              <w:rPr>
                <w:rFonts w:hint="eastAsia" w:ascii="宋体" w:hAnsi="宋体" w:cs="宋体"/>
                <w:color w:val="000000" w:themeColor="text1"/>
                <w:sz w:val="21"/>
                <w:szCs w:val="21"/>
                <w:highlight w:val="none"/>
                <w14:textFill>
                  <w14:solidFill>
                    <w14:schemeClr w14:val="tx1"/>
                  </w14:solidFill>
                </w14:textFill>
              </w:rPr>
              <w:t>开水流量≥120L/小时。</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9"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5"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2930" w:type="pct"/>
            <w:vAlign w:val="center"/>
          </w:tcPr>
          <w:p>
            <w:p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单位水</w:t>
            </w:r>
            <w:r>
              <w:rPr>
                <w:rFonts w:ascii="宋体" w:hAnsi="宋体" w:cs="宋体"/>
                <w:color w:val="000000" w:themeColor="text1"/>
                <w:sz w:val="21"/>
                <w:szCs w:val="21"/>
                <w:highlight w:val="none"/>
                <w14:textFill>
                  <w14:solidFill>
                    <w14:schemeClr w14:val="tx1"/>
                  </w14:solidFill>
                </w14:textFill>
              </w:rPr>
              <w:t>量能耗</w:t>
            </w:r>
            <w:r>
              <w:rPr>
                <w:rFonts w:hint="eastAsia" w:ascii="宋体" w:hAnsi="宋体" w:cs="宋体"/>
                <w:color w:val="000000" w:themeColor="text1"/>
                <w:sz w:val="21"/>
                <w:szCs w:val="21"/>
                <w:highlight w:val="none"/>
                <w14:textFill>
                  <w14:solidFill>
                    <w14:schemeClr w14:val="tx1"/>
                  </w14:solidFill>
                </w14:textFill>
              </w:rPr>
              <w:t>≤0.091</w:t>
            </w:r>
            <w:r>
              <w:rPr>
                <w:rFonts w:ascii="宋体" w:hAnsi="宋体" w:cs="宋体"/>
                <w:color w:val="000000" w:themeColor="text1"/>
                <w:sz w:val="21"/>
                <w:szCs w:val="21"/>
                <w:highlight w:val="none"/>
                <w14:textFill>
                  <w14:solidFill>
                    <w14:schemeClr w14:val="tx1"/>
                  </w14:solidFill>
                </w14:textFill>
              </w:rPr>
              <w:t>kw.h/L</w:t>
            </w:r>
            <w:r>
              <w:rPr>
                <w:rFonts w:hint="eastAsia" w:ascii="宋体" w:hAnsi="宋体" w:cs="宋体"/>
                <w:color w:val="000000" w:themeColor="text1"/>
                <w:sz w:val="21"/>
                <w:szCs w:val="21"/>
                <w:highlight w:val="none"/>
                <w14:textFill>
                  <w14:solidFill>
                    <w14:schemeClr w14:val="tx1"/>
                  </w14:solidFill>
                </w14:textFill>
              </w:rPr>
              <w:t xml:space="preserve">规定值。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9"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p>
        </w:tc>
        <w:tc>
          <w:tcPr>
            <w:tcW w:w="2930" w:type="pct"/>
            <w:vAlign w:val="center"/>
          </w:tcPr>
          <w:p>
            <w:pPr>
              <w:numPr>
                <w:ilvl w:val="0"/>
                <w:numId w:val="0"/>
              </w:num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要求配置双水龙头</w:t>
            </w:r>
            <w:r>
              <w:rPr>
                <w:rFonts w:ascii="宋体" w:hAnsi="宋体" w:cs="宋体"/>
                <w:color w:val="000000" w:themeColor="text1"/>
                <w:sz w:val="21"/>
                <w:szCs w:val="21"/>
                <w:highlight w:val="none"/>
                <w14:textFill>
                  <w14:solidFill>
                    <w14:schemeClr w14:val="tx1"/>
                  </w14:solidFill>
                </w14:textFill>
              </w:rPr>
              <w:t>同时</w:t>
            </w:r>
            <w:r>
              <w:rPr>
                <w:rFonts w:hint="eastAsia" w:ascii="宋体" w:hAnsi="宋体" w:cs="宋体"/>
                <w:color w:val="000000" w:themeColor="text1"/>
                <w:sz w:val="21"/>
                <w:szCs w:val="21"/>
                <w:highlight w:val="none"/>
                <w14:textFill>
                  <w14:solidFill>
                    <w14:schemeClr w14:val="tx1"/>
                  </w14:solidFill>
                </w14:textFill>
              </w:rPr>
              <w:t xml:space="preserve">出开水，24小时连续供应≥93度开水不降温。  </w:t>
            </w:r>
            <w:r>
              <w:rPr>
                <w:rFonts w:ascii="宋体" w:hAnsi="宋体" w:cs="宋体"/>
                <w:color w:val="000000" w:themeColor="text1"/>
                <w:sz w:val="21"/>
                <w:szCs w:val="21"/>
                <w:highlight w:val="none"/>
                <w14:textFill>
                  <w14:solidFill>
                    <w14:schemeClr w14:val="tx1"/>
                  </w14:solidFill>
                </w14:textFill>
              </w:rPr>
              <w:t xml:space="preserve">             </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2930" w:type="pct"/>
            <w:vAlign w:val="center"/>
          </w:tcPr>
          <w:p>
            <w:pPr>
              <w:numPr>
                <w:ilvl w:val="0"/>
                <w:numId w:val="0"/>
              </w:num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显示屏</w:t>
            </w:r>
            <w:r>
              <w:rPr>
                <w:rFonts w:ascii="宋体" w:hAnsi="宋体" w:cs="宋体"/>
                <w:color w:val="000000" w:themeColor="text1"/>
                <w:sz w:val="21"/>
                <w:szCs w:val="21"/>
                <w:highlight w:val="none"/>
                <w14:textFill>
                  <w14:solidFill>
                    <w14:schemeClr w14:val="tx1"/>
                  </w14:solidFill>
                </w14:textFill>
              </w:rPr>
              <w:t>显示开水温度</w:t>
            </w:r>
            <w:r>
              <w:rPr>
                <w:rFonts w:hint="eastAsia" w:ascii="宋体" w:hAnsi="宋体" w:cs="宋体"/>
                <w:color w:val="000000" w:themeColor="text1"/>
                <w:sz w:val="21"/>
                <w:szCs w:val="21"/>
                <w:highlight w:val="none"/>
                <w14:textFill>
                  <w14:solidFill>
                    <w14:schemeClr w14:val="tx1"/>
                  </w14:solidFill>
                </w14:textFill>
              </w:rPr>
              <w:t>。</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2930" w:type="pct"/>
            <w:vAlign w:val="center"/>
          </w:tcPr>
          <w:p>
            <w:p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机器内置三级及</w:t>
            </w:r>
            <w:r>
              <w:rPr>
                <w:rFonts w:ascii="宋体" w:hAnsi="宋体" w:cs="宋体"/>
                <w:color w:val="000000" w:themeColor="text1"/>
                <w:sz w:val="21"/>
                <w:szCs w:val="21"/>
                <w:highlight w:val="none"/>
                <w14:textFill>
                  <w14:solidFill>
                    <w14:schemeClr w14:val="tx1"/>
                  </w14:solidFill>
                </w14:textFill>
              </w:rPr>
              <w:t>以上</w:t>
            </w:r>
            <w:r>
              <w:rPr>
                <w:rFonts w:hint="eastAsia" w:ascii="宋体" w:hAnsi="宋体" w:cs="宋体"/>
                <w:color w:val="000000" w:themeColor="text1"/>
                <w:sz w:val="21"/>
                <w:szCs w:val="21"/>
                <w:highlight w:val="none"/>
                <w14:textFill>
                  <w14:solidFill>
                    <w14:schemeClr w14:val="tx1"/>
                  </w14:solidFill>
                </w14:textFill>
              </w:rPr>
              <w:t>过滤净水系统。</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2930" w:type="pct"/>
            <w:vAlign w:val="center"/>
          </w:tcPr>
          <w:p>
            <w:pPr>
              <w:pStyle w:val="9"/>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机器</w:t>
            </w:r>
            <w:r>
              <w:rPr>
                <w:color w:val="000000" w:themeColor="text1"/>
                <w:sz w:val="21"/>
                <w:szCs w:val="21"/>
                <w:highlight w:val="none"/>
                <w14:textFill>
                  <w14:solidFill>
                    <w14:schemeClr w14:val="tx1"/>
                  </w14:solidFill>
                </w14:textFill>
              </w:rPr>
              <w:t>外壳材质和接水盘材质为金属不锈钢。</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2930" w:type="pct"/>
            <w:vAlign w:val="center"/>
          </w:tcPr>
          <w:p>
            <w:pPr>
              <w:pStyle w:val="9"/>
              <w:spacing w:line="24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加热管采用金属不锈钢</w:t>
            </w:r>
            <w:r>
              <w:rPr>
                <w:rFonts w:hint="eastAsia"/>
                <w:color w:val="000000" w:themeColor="text1"/>
                <w:sz w:val="21"/>
                <w:szCs w:val="21"/>
                <w:highlight w:val="none"/>
                <w:lang w:val="en-US" w:eastAsia="zh-CN"/>
                <w14:textFill>
                  <w14:solidFill>
                    <w14:schemeClr w14:val="tx1"/>
                  </w14:solidFill>
                </w14:textFill>
              </w:rPr>
              <w:t>或石英管</w:t>
            </w:r>
            <w:r>
              <w:rPr>
                <w:color w:val="000000" w:themeColor="text1"/>
                <w:sz w:val="21"/>
                <w:szCs w:val="21"/>
                <w:highlight w:val="none"/>
                <w14:textFill>
                  <w14:solidFill>
                    <w14:schemeClr w14:val="tx1"/>
                  </w14:solidFill>
                </w14:textFill>
              </w:rPr>
              <w:t>。</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0" w:type="auto"/>
          </w:tcPr>
          <w:p>
            <w:pPr>
              <w:adjustRightInd w:val="0"/>
              <w:snapToGrid w:val="0"/>
              <w:spacing w:line="288"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w:t>
            </w:r>
          </w:p>
        </w:tc>
        <w:tc>
          <w:tcPr>
            <w:tcW w:w="2930" w:type="pct"/>
            <w:vAlign w:val="center"/>
          </w:tcPr>
          <w:p>
            <w:pPr>
              <w:spacing w:line="408"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阻垢机</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※1 </w:t>
            </w:r>
          </w:p>
        </w:tc>
        <w:tc>
          <w:tcPr>
            <w:tcW w:w="2930" w:type="pct"/>
            <w:vAlign w:val="center"/>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提供拟投型号的阻垢机的水质检验/检测报告（第三方检测机构）复印件（扫描件）加盖厂家公章。</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2930" w:type="pct"/>
            <w:vAlign w:val="center"/>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机组额度功率0≤35W。</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2930" w:type="pct"/>
            <w:vAlign w:val="center"/>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每小时处理水量≥240L/h。</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2930" w:type="pct"/>
            <w:vAlign w:val="center"/>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废水排放率为0。                                                                   </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2930" w:type="pct"/>
            <w:vAlign w:val="center"/>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所有电器元件安装在设备内部，防止无关人员接触防止意外。                                </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2930" w:type="pct"/>
            <w:vAlign w:val="center"/>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设备内部带低液位报警。                                                               </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2930" w:type="pct"/>
            <w:vAlign w:val="center"/>
          </w:tcPr>
          <w:p>
            <w:pPr>
              <w:adjustRightInd w:val="0"/>
              <w:snapToGrid w:val="0"/>
              <w:spacing w:line="288"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设备防水防冻，可以室外安装。</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9"/>
        <w:spacing w:line="360" w:lineRule="auto"/>
        <w:rPr>
          <w:color w:val="000000" w:themeColor="text1"/>
          <w:highlight w:val="none"/>
          <w14:textFill>
            <w14:solidFill>
              <w14:schemeClr w14:val="tx1"/>
            </w14:solidFill>
          </w14:textFill>
        </w:rPr>
      </w:pPr>
      <w:r>
        <w:rPr>
          <w:rFonts w:hint="eastAsia" w:hAnsi="宋体" w:cs="宋体"/>
          <w:color w:val="000000" w:themeColor="text1"/>
          <w:sz w:val="21"/>
          <w:szCs w:val="21"/>
          <w:highlight w:val="none"/>
          <w:u w:val="double"/>
          <w:lang w:val="en-US" w:eastAsia="zh-CN"/>
          <w14:textFill>
            <w14:solidFill>
              <w14:schemeClr w14:val="tx1"/>
            </w14:solidFill>
          </w14:textFill>
        </w:rPr>
        <w:t>备注：以上所有项目均须提供相应的第三方出具的检测报告或专利证书或该产品的使用说明书以反映该产品的相关性能，否则不予认可。（用来证明所投产品的技术优于采购方技术要求，证明资料中包含关键技术指标信息。）</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2、相关证明材料不得弄虚作假。</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br w:type="page"/>
      </w: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七、公示信息表</w:t>
      </w:r>
    </w:p>
    <w:p>
      <w:pPr>
        <w:adjustRightInd w:val="0"/>
        <w:snapToGrid w:val="0"/>
        <w:spacing w:line="288" w:lineRule="auto"/>
        <w:ind w:firstLine="675" w:firstLineChars="250"/>
        <w:jc w:val="center"/>
        <w:rPr>
          <w:rFonts w:ascii="宋体" w:hAnsi="宋体" w:cs="宋体"/>
          <w:color w:val="000000" w:themeColor="text1"/>
          <w:sz w:val="27"/>
          <w:szCs w:val="27"/>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供应商名称</w:t>
            </w:r>
          </w:p>
        </w:tc>
        <w:tc>
          <w:tcPr>
            <w:tcW w:w="5670"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供货期限</w:t>
            </w:r>
          </w:p>
        </w:tc>
        <w:tc>
          <w:tcPr>
            <w:tcW w:w="5670"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供应商业绩</w:t>
            </w:r>
          </w:p>
        </w:tc>
        <w:tc>
          <w:tcPr>
            <w:tcW w:w="5670" w:type="dxa"/>
            <w:vAlign w:val="center"/>
          </w:tcPr>
          <w:p>
            <w:pPr>
              <w:tabs>
                <w:tab w:val="left" w:pos="3060"/>
              </w:tabs>
              <w:topLinePunct/>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p>
            <w:pPr>
              <w:tabs>
                <w:tab w:val="left" w:pos="3060"/>
              </w:tabs>
              <w:topLinePunct/>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p>
            <w:pPr>
              <w:tabs>
                <w:tab w:val="left" w:pos="3060"/>
              </w:tabs>
              <w:topLinePunct/>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w:t>
            </w:r>
          </w:p>
        </w:tc>
      </w:tr>
    </w:tbl>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注：1.供应商须完整填写相应信息。</w:t>
      </w:r>
    </w:p>
    <w:p>
      <w:pPr>
        <w:tabs>
          <w:tab w:val="left" w:pos="3060"/>
        </w:tabs>
        <w:topLinePunct/>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2.本表应拷入第一信封U盘中。</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3.本表填写内容应与竞标文件其他相关表格一致。</w:t>
      </w: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 w:val="27"/>
          <w:szCs w:val="27"/>
          <w:highlight w:val="none"/>
          <w14:textFill>
            <w14:solidFill>
              <w14:schemeClr w14:val="tx1"/>
            </w14:solidFill>
          </w14:textFill>
        </w:rPr>
        <w:t>八、其他材料</w:t>
      </w:r>
    </w:p>
    <w:p>
      <w:pP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供应商认为需要提供的相关资料</w:t>
      </w:r>
    </w:p>
    <w:p>
      <w:pPr>
        <w:rPr>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autoSpaceDE w:val="0"/>
        <w:autoSpaceDN w:val="0"/>
        <w:adjustRightInd w:val="0"/>
        <w:jc w:val="center"/>
        <w:rPr>
          <w:rFonts w:ascii="宋体" w:hAnsi="宋体"/>
          <w:b/>
          <w:color w:val="000000" w:themeColor="text1"/>
          <w:sz w:val="21"/>
          <w:szCs w:val="28"/>
          <w:highlight w:val="none"/>
          <w14:textFill>
            <w14:solidFill>
              <w14:schemeClr w14:val="tx1"/>
            </w14:solidFill>
          </w14:textFill>
        </w:rPr>
      </w:pPr>
    </w:p>
    <w:p>
      <w:pPr>
        <w:autoSpaceDE w:val="0"/>
        <w:autoSpaceDN w:val="0"/>
        <w:adjustRightInd w:val="0"/>
        <w:jc w:val="center"/>
        <w:rPr>
          <w:rFonts w:ascii="宋体" w:hAnsi="宋体"/>
          <w:b/>
          <w:color w:val="000000" w:themeColor="text1"/>
          <w:sz w:val="30"/>
          <w:szCs w:val="30"/>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36"/>
          <w:szCs w:val="36"/>
          <w:highlight w:val="none"/>
          <w:u w:val="single"/>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项目</w:t>
      </w: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50"/>
          <w:szCs w:val="50"/>
          <w:highlight w:val="none"/>
          <w14:textFill>
            <w14:solidFill>
              <w14:schemeClr w14:val="tx1"/>
            </w14:solidFill>
          </w14:textFill>
        </w:rPr>
      </w:pPr>
      <w:r>
        <w:rPr>
          <w:rFonts w:hint="eastAsia" w:ascii="宋体" w:hAnsi="宋体" w:cs="宋体"/>
          <w:color w:val="000000" w:themeColor="text1"/>
          <w:sz w:val="50"/>
          <w:szCs w:val="50"/>
          <w:highlight w:val="none"/>
          <w14:textFill>
            <w14:solidFill>
              <w14:schemeClr w14:val="tx1"/>
            </w14:solidFill>
          </w14:textFill>
        </w:rPr>
        <w:t>响应文件第二个信封（报价文件）</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pStyle w:val="9"/>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9"/>
        <w:rPr>
          <w:rFonts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br w:type="page"/>
      </w:r>
      <w:r>
        <w:rPr>
          <w:rFonts w:hint="eastAsia" w:ascii="宋体" w:hAnsi="宋体" w:cs="宋体"/>
          <w:color w:val="000000" w:themeColor="text1"/>
          <w:sz w:val="20"/>
          <w:szCs w:val="20"/>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目     录</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一、报价函</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二、报价清单</w:t>
      </w: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p>
    <w:p>
      <w:pPr>
        <w:pStyle w:val="9"/>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9"/>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9"/>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9"/>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9"/>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9"/>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9"/>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9"/>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9"/>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9"/>
        <w:rPr>
          <w:rFonts w:hAnsi="宋体" w:cs="宋体"/>
          <w:color w:val="000000" w:themeColor="text1"/>
          <w:szCs w:val="28"/>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一、报价函</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(采购人名称)：</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1.我方已仔细研究</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项目询比文件的全部内容（含补遗书第</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号至第</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号），在考察工程现场后，愿意以人民币（大写）</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元（¥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）的总报价，遵照询比文件的各项要求，承担</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项目的全部工作。</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2.我方根据询价文件的规定，严格履行合同的责任和义务,并保证于采购人要求的供货期限内完成本项目全部工作。</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（其他补充说明）。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网址：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传真：</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邮政编码：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pStyle w:val="9"/>
        <w:adjustRightInd w:val="0"/>
        <w:snapToGrid w:val="0"/>
        <w:spacing w:line="288" w:lineRule="auto"/>
        <w:rPr>
          <w:rFonts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pStyle w:val="9"/>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9"/>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9"/>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9"/>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9"/>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9"/>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9"/>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二、</w:t>
      </w:r>
      <w:r>
        <w:rPr>
          <w:rFonts w:hint="eastAsia" w:ascii="宋体" w:hAnsi="宋体" w:cs="宋体"/>
          <w:color w:val="000000" w:themeColor="text1"/>
          <w:sz w:val="32"/>
          <w:szCs w:val="32"/>
          <w:highlight w:val="none"/>
          <w14:textFill>
            <w14:solidFill>
              <w14:schemeClr w14:val="tx1"/>
            </w14:solidFill>
          </w14:textFill>
        </w:rPr>
        <w:t>报价清单</w:t>
      </w:r>
    </w:p>
    <w:p>
      <w:pPr>
        <w:adjustRightInd w:val="0"/>
        <w:snapToGrid w:val="0"/>
        <w:spacing w:line="288" w:lineRule="auto"/>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A．报价说明</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1．本采购清单应与询比文件、合同条款等文件结合起来查阅与理解。</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除非合同另有规定，清单中综合单价和总价应包括了为实施和完成合同所需的设计费、制造费、材料费、税费、运输费、检测费、验收费、安装调试费等达到使用条件及质保期维护维修的一切费用，以及合同约定的所有责任、义务和一般风险。</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3．采购清单中的各项费用货币单位均为人民币(元)。</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4．供货期以合同签订之日起算，送达指定地点处且验收合格的日历天数。</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5．对于符合要求的报价文件，在签订合同协议书前，如发现报价单中有计算方面的算术差错，按采购文件规定修正。</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6．报价单中的各项费用均以人民币(元)结算。</w:t>
      </w:r>
    </w:p>
    <w:p>
      <w:pPr>
        <w:autoSpaceDE w:val="0"/>
        <w:autoSpaceDN w:val="0"/>
        <w:adjustRightInd w:val="0"/>
        <w:snapToGrid w:val="0"/>
        <w:spacing w:line="288" w:lineRule="auto"/>
        <w:ind w:firstLine="472" w:firstLineChars="197"/>
        <w:rPr>
          <w:rFonts w:ascii="宋体" w:hAnsi="宋体" w:cs="宋体"/>
          <w:color w:val="000000" w:themeColor="text1"/>
          <w:highlight w:val="none"/>
          <w14:textFill>
            <w14:solidFill>
              <w14:schemeClr w14:val="tx1"/>
            </w14:solidFill>
          </w14:textFill>
        </w:rPr>
      </w:pPr>
    </w:p>
    <w:p>
      <w:pPr>
        <w:autoSpaceDE w:val="0"/>
        <w:autoSpaceDN w:val="0"/>
        <w:adjustRightInd w:val="0"/>
        <w:snapToGrid w:val="0"/>
        <w:spacing w:line="288" w:lineRule="auto"/>
        <w:ind w:firstLine="475" w:firstLineChars="197"/>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adjustRightInd w:val="0"/>
        <w:snapToGrid w:val="0"/>
        <w:spacing w:line="288"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B．报价清单表</w:t>
      </w:r>
    </w:p>
    <w:p>
      <w:pPr>
        <w:adjustRightInd w:val="0"/>
        <w:snapToGrid w:val="0"/>
        <w:spacing w:line="288"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（1）报价汇总表</w:t>
      </w:r>
    </w:p>
    <w:tbl>
      <w:tblPr>
        <w:tblStyle w:val="16"/>
        <w:tblW w:w="8459"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99"/>
        <w:gridCol w:w="1140"/>
        <w:gridCol w:w="1290"/>
        <w:gridCol w:w="1185"/>
        <w:gridCol w:w="123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99" w:type="dxa"/>
            <w:vAlign w:val="center"/>
          </w:tcPr>
          <w:p>
            <w:pPr>
              <w:adjustRightInd w:val="0"/>
              <w:snapToGrid w:val="0"/>
              <w:spacing w:line="288"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设备名称</w:t>
            </w:r>
          </w:p>
        </w:tc>
        <w:tc>
          <w:tcPr>
            <w:tcW w:w="1140" w:type="dxa"/>
            <w:vAlign w:val="center"/>
          </w:tcPr>
          <w:p>
            <w:pPr>
              <w:adjustRightInd w:val="0"/>
              <w:snapToGrid w:val="0"/>
              <w:spacing w:line="288" w:lineRule="auto"/>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290" w:type="dxa"/>
            <w:vAlign w:val="center"/>
          </w:tcPr>
          <w:p>
            <w:pPr>
              <w:adjustRightInd w:val="0"/>
              <w:snapToGrid w:val="0"/>
              <w:spacing w:line="288" w:lineRule="auto"/>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数量</w:t>
            </w:r>
          </w:p>
        </w:tc>
        <w:tc>
          <w:tcPr>
            <w:tcW w:w="1185"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综合单价（元）</w:t>
            </w:r>
          </w:p>
        </w:tc>
        <w:tc>
          <w:tcPr>
            <w:tcW w:w="1230" w:type="dxa"/>
            <w:vAlign w:val="center"/>
          </w:tcPr>
          <w:p>
            <w:pPr>
              <w:adjustRightInd w:val="0"/>
              <w:snapToGrid w:val="0"/>
              <w:spacing w:line="288" w:lineRule="auto"/>
              <w:jc w:val="center"/>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合价</w:t>
            </w:r>
          </w:p>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（元）</w:t>
            </w:r>
          </w:p>
        </w:tc>
        <w:tc>
          <w:tcPr>
            <w:tcW w:w="1152"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99" w:type="dxa"/>
            <w:vAlign w:val="center"/>
          </w:tcPr>
          <w:p>
            <w:pPr>
              <w:tabs>
                <w:tab w:val="left" w:pos="-1680"/>
              </w:tabs>
              <w:spacing w:line="440" w:lineRule="exact"/>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开水器</w:t>
            </w:r>
          </w:p>
        </w:tc>
        <w:tc>
          <w:tcPr>
            <w:tcW w:w="1140" w:type="dxa"/>
            <w:vAlign w:val="center"/>
          </w:tcPr>
          <w:p>
            <w:pPr>
              <w:tabs>
                <w:tab w:val="left" w:pos="-1680"/>
              </w:tabs>
              <w:spacing w:line="440" w:lineRule="exact"/>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台</w:t>
            </w:r>
          </w:p>
        </w:tc>
        <w:tc>
          <w:tcPr>
            <w:tcW w:w="1290" w:type="dxa"/>
            <w:vAlign w:val="center"/>
          </w:tcPr>
          <w:p>
            <w:pPr>
              <w:tabs>
                <w:tab w:val="left" w:pos="-1680"/>
              </w:tabs>
              <w:spacing w:line="440" w:lineRule="exact"/>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60</w:t>
            </w:r>
          </w:p>
        </w:tc>
        <w:tc>
          <w:tcPr>
            <w:tcW w:w="1185"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230"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152" w:type="dxa"/>
            <w:vAlign w:val="center"/>
          </w:tcPr>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99" w:type="dxa"/>
            <w:vAlign w:val="center"/>
          </w:tcPr>
          <w:p>
            <w:pPr>
              <w:tabs>
                <w:tab w:val="left" w:pos="-1680"/>
              </w:tabs>
              <w:spacing w:line="440" w:lineRule="exact"/>
              <w:ind w:firstLine="22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阻垢机</w:t>
            </w:r>
          </w:p>
        </w:tc>
        <w:tc>
          <w:tcPr>
            <w:tcW w:w="1140" w:type="dxa"/>
            <w:vAlign w:val="center"/>
          </w:tcPr>
          <w:p>
            <w:pPr>
              <w:tabs>
                <w:tab w:val="left" w:pos="-1680"/>
              </w:tabs>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台</w:t>
            </w:r>
          </w:p>
        </w:tc>
        <w:tc>
          <w:tcPr>
            <w:tcW w:w="1290" w:type="dxa"/>
            <w:vAlign w:val="center"/>
          </w:tcPr>
          <w:p>
            <w:pPr>
              <w:tabs>
                <w:tab w:val="left" w:pos="-1680"/>
              </w:tabs>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30</w:t>
            </w:r>
          </w:p>
        </w:tc>
        <w:tc>
          <w:tcPr>
            <w:tcW w:w="1185"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230"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152"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3"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5414" w:type="dxa"/>
            <w:gridSpan w:val="4"/>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竞标总报价（元）=（1+2）项合计</w:t>
            </w:r>
          </w:p>
        </w:tc>
        <w:tc>
          <w:tcPr>
            <w:tcW w:w="1230" w:type="dxa"/>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152" w:type="dxa"/>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bl>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报价人：</w:t>
      </w:r>
      <w:r>
        <w:rPr>
          <w:rFonts w:hint="eastAsia" w:ascii="宋体" w:hAnsi="宋体" w:cs="宋体"/>
          <w:color w:val="000000" w:themeColor="text1"/>
          <w:szCs w:val="21"/>
          <w:highlight w:val="none"/>
          <w:u w:val="single"/>
          <w14:textFill>
            <w14:solidFill>
              <w14:schemeClr w14:val="tx1"/>
            </w14:solidFill>
          </w14:textFill>
        </w:rPr>
        <w:t>（   盖章    ）</w:t>
      </w:r>
    </w:p>
    <w:p>
      <w:pPr>
        <w:adjustRightInd w:val="0"/>
        <w:snapToGrid w:val="0"/>
        <w:spacing w:line="288" w:lineRule="auto"/>
        <w:ind w:firstLine="1680" w:firstLineChars="700"/>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报价人法定代表人或其授权的代理人：</w:t>
      </w:r>
      <w:r>
        <w:rPr>
          <w:rFonts w:hint="eastAsia" w:ascii="宋体" w:hAnsi="宋体" w:cs="宋体"/>
          <w:color w:val="000000" w:themeColor="text1"/>
          <w:szCs w:val="21"/>
          <w:highlight w:val="none"/>
          <w:u w:val="single"/>
          <w14:textFill>
            <w14:solidFill>
              <w14:schemeClr w14:val="tx1"/>
            </w14:solidFill>
          </w14:textFill>
        </w:rPr>
        <w:t>（   签字     ）</w:t>
      </w:r>
    </w:p>
    <w:p>
      <w:pPr>
        <w:adjustRightInd w:val="0"/>
        <w:snapToGrid w:val="0"/>
        <w:spacing w:line="288" w:lineRule="auto"/>
        <w:ind w:firstLine="2880" w:firstLineChars="1200"/>
        <w:rPr>
          <w:rFonts w:ascii="宋体" w:hAnsi="宋体" w:cs="宋体"/>
          <w:color w:val="000000" w:themeColor="text1"/>
          <w:szCs w:val="21"/>
          <w:highlight w:val="none"/>
          <w14:textFill>
            <w14:solidFill>
              <w14:schemeClr w14:val="tx1"/>
            </w14:solidFill>
          </w14:textFill>
        </w:rPr>
      </w:pPr>
    </w:p>
    <w:p>
      <w:pPr>
        <w:pStyle w:val="9"/>
        <w:adjustRightInd w:val="0"/>
        <w:snapToGrid w:val="0"/>
        <w:spacing w:line="288" w:lineRule="auto"/>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日期：   </w:t>
      </w:r>
    </w:p>
    <w:p>
      <w:pPr>
        <w:rPr>
          <w:color w:val="000000" w:themeColor="text1"/>
          <w:highlight w:val="none"/>
          <w14:textFill>
            <w14:solidFill>
              <w14:schemeClr w14:val="tx1"/>
            </w14:solidFill>
          </w14:textFill>
        </w:rPr>
      </w:pPr>
    </w:p>
    <w:sectPr>
      <w:headerReference r:id="rId21" w:type="default"/>
      <w:footerReference r:id="rId22" w:type="default"/>
      <w:pgSz w:w="11849" w:h="16781"/>
      <w:pgMar w:top="1134" w:right="1134" w:bottom="1134" w:left="1134" w:header="850" w:footer="992" w:gutter="0"/>
      <w:cols w:space="720" w:num="1"/>
      <w:titlePg/>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0</w:t>
    </w:r>
    <w:r>
      <w:fldChar w:fldCharType="end"/>
    </w:r>
  </w:p>
  <w:p>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3eSUp6YBAAA/AwAADgAAAAAA&#10;AAABACAAAAAeAQAAZHJzL2Uyb0RvYy54bWxQSwUGAAAAAAYABgBZAQAANg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lang w:val="zh-CN"/>
      </w:rPr>
      <w:t>45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1qcBAAA/AwAADgAAAGRycy9lMm9Eb2MueG1srVLNahsxEL4H8g5C&#10;91obE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fitanAQAAPwMAAA4AAAAA&#10;AAAAAQAgAAAAHgEAAGRycy9lMm9Eb2MueG1sUEsFBgAAAAAGAAYAWQEAADc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27</w:t>
    </w:r>
    <w: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0</w:t>
    </w:r>
    <w:r>
      <w:fldChar w:fldCharType="end"/>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30</w:t>
    </w:r>
    <w: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pPr>
      <w:r>
        <w:rPr>
          <w:rFonts w:hint="eastAsia"/>
        </w:rPr>
        <w:footnoteRef/>
      </w:r>
      <w:r>
        <w:rPr>
          <w:rFonts w:hint="eastAsia"/>
        </w:rPr>
        <w:t xml:space="preserve"> 如果由供应商的法定代表人签署竞标文件，则无须提交授权委托书。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安徽省驿达高速公路服务区经营管理有限公司2017年度商务车和轿车采购                                         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12" w:space="1"/>
      </w:pBdr>
      <w:tabs>
        <w:tab w:val="left" w:pos="7006"/>
        <w:tab w:val="clear" w:pos="4153"/>
      </w:tabs>
      <w:jc w:val="both"/>
      <w:rPr>
        <w:rFonts w:ascii="楷体_GB2312" w:eastAsia="楷体_GB2312"/>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82E83"/>
    <w:multiLevelType w:val="singleLevel"/>
    <w:tmpl w:val="25282E8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0B"/>
    <w:rsid w:val="00021FFA"/>
    <w:rsid w:val="00094253"/>
    <w:rsid w:val="000C4F59"/>
    <w:rsid w:val="000D4A05"/>
    <w:rsid w:val="000F1AF6"/>
    <w:rsid w:val="00152F6C"/>
    <w:rsid w:val="00155D21"/>
    <w:rsid w:val="0019248C"/>
    <w:rsid w:val="001A6A1D"/>
    <w:rsid w:val="00233F06"/>
    <w:rsid w:val="0026474F"/>
    <w:rsid w:val="002C76D6"/>
    <w:rsid w:val="003153F7"/>
    <w:rsid w:val="003351CF"/>
    <w:rsid w:val="003A2779"/>
    <w:rsid w:val="003C4DD1"/>
    <w:rsid w:val="003C4E3A"/>
    <w:rsid w:val="003F13C4"/>
    <w:rsid w:val="004027D0"/>
    <w:rsid w:val="0041397E"/>
    <w:rsid w:val="0047513C"/>
    <w:rsid w:val="00545C00"/>
    <w:rsid w:val="00550891"/>
    <w:rsid w:val="005B0A39"/>
    <w:rsid w:val="005C55FD"/>
    <w:rsid w:val="006046C6"/>
    <w:rsid w:val="00620DA2"/>
    <w:rsid w:val="00721F87"/>
    <w:rsid w:val="007A491A"/>
    <w:rsid w:val="00800DA5"/>
    <w:rsid w:val="00811384"/>
    <w:rsid w:val="008435A4"/>
    <w:rsid w:val="008A1323"/>
    <w:rsid w:val="008C73B1"/>
    <w:rsid w:val="009022BE"/>
    <w:rsid w:val="00923268"/>
    <w:rsid w:val="009929A4"/>
    <w:rsid w:val="00A006D3"/>
    <w:rsid w:val="00A331ED"/>
    <w:rsid w:val="00A70BEF"/>
    <w:rsid w:val="00AB092D"/>
    <w:rsid w:val="00B13650"/>
    <w:rsid w:val="00BC6830"/>
    <w:rsid w:val="00C1408E"/>
    <w:rsid w:val="00C27DB6"/>
    <w:rsid w:val="00CD3BAF"/>
    <w:rsid w:val="00D2411D"/>
    <w:rsid w:val="00D24EA7"/>
    <w:rsid w:val="00D51AEF"/>
    <w:rsid w:val="00D80B86"/>
    <w:rsid w:val="00DA4BB9"/>
    <w:rsid w:val="00DC0EBA"/>
    <w:rsid w:val="00DE3236"/>
    <w:rsid w:val="00E2130B"/>
    <w:rsid w:val="00E94637"/>
    <w:rsid w:val="00EA1BDC"/>
    <w:rsid w:val="00EC45DA"/>
    <w:rsid w:val="00F5090F"/>
    <w:rsid w:val="00F72F84"/>
    <w:rsid w:val="016D4A6E"/>
    <w:rsid w:val="018A69AE"/>
    <w:rsid w:val="025E5618"/>
    <w:rsid w:val="04462B38"/>
    <w:rsid w:val="04E435A3"/>
    <w:rsid w:val="058D0868"/>
    <w:rsid w:val="0790656E"/>
    <w:rsid w:val="07A05731"/>
    <w:rsid w:val="0821081F"/>
    <w:rsid w:val="08EB56F9"/>
    <w:rsid w:val="09CE66E8"/>
    <w:rsid w:val="0B343519"/>
    <w:rsid w:val="0B3F0877"/>
    <w:rsid w:val="0B6669E2"/>
    <w:rsid w:val="0B9E0F48"/>
    <w:rsid w:val="0BFA681B"/>
    <w:rsid w:val="0C2A6C14"/>
    <w:rsid w:val="0CCB088A"/>
    <w:rsid w:val="0CCF600D"/>
    <w:rsid w:val="0F5E5A1A"/>
    <w:rsid w:val="0F87019C"/>
    <w:rsid w:val="0FC95800"/>
    <w:rsid w:val="12987AB7"/>
    <w:rsid w:val="13AE48D5"/>
    <w:rsid w:val="14AA321A"/>
    <w:rsid w:val="15150282"/>
    <w:rsid w:val="156A0BA8"/>
    <w:rsid w:val="16275DB1"/>
    <w:rsid w:val="16A17510"/>
    <w:rsid w:val="16C72AAB"/>
    <w:rsid w:val="18742EBB"/>
    <w:rsid w:val="1882765A"/>
    <w:rsid w:val="1A1B746F"/>
    <w:rsid w:val="1AE15F74"/>
    <w:rsid w:val="1B1A596A"/>
    <w:rsid w:val="1B943455"/>
    <w:rsid w:val="1C317951"/>
    <w:rsid w:val="1EDE0BBB"/>
    <w:rsid w:val="1F302C27"/>
    <w:rsid w:val="1F75737D"/>
    <w:rsid w:val="20C2020A"/>
    <w:rsid w:val="21F6445E"/>
    <w:rsid w:val="22525ACC"/>
    <w:rsid w:val="22AC1857"/>
    <w:rsid w:val="231E3426"/>
    <w:rsid w:val="23F43C13"/>
    <w:rsid w:val="259F79C6"/>
    <w:rsid w:val="29680051"/>
    <w:rsid w:val="29F31B95"/>
    <w:rsid w:val="2AC50229"/>
    <w:rsid w:val="2ADF1AF6"/>
    <w:rsid w:val="2C0404AD"/>
    <w:rsid w:val="2C2252EF"/>
    <w:rsid w:val="2C647620"/>
    <w:rsid w:val="2DD81FC4"/>
    <w:rsid w:val="2E1E284C"/>
    <w:rsid w:val="2F8D770A"/>
    <w:rsid w:val="30275C54"/>
    <w:rsid w:val="3100538E"/>
    <w:rsid w:val="32084FFC"/>
    <w:rsid w:val="36832AA4"/>
    <w:rsid w:val="387815F2"/>
    <w:rsid w:val="3BD42415"/>
    <w:rsid w:val="3BF559BE"/>
    <w:rsid w:val="3C5B0370"/>
    <w:rsid w:val="3C82378E"/>
    <w:rsid w:val="3CB5603E"/>
    <w:rsid w:val="3D08510B"/>
    <w:rsid w:val="3D181C5D"/>
    <w:rsid w:val="3DAF6A2D"/>
    <w:rsid w:val="3DCE653F"/>
    <w:rsid w:val="3E4E36EF"/>
    <w:rsid w:val="3E5C44DE"/>
    <w:rsid w:val="3ECA2F72"/>
    <w:rsid w:val="41CB510A"/>
    <w:rsid w:val="426344FF"/>
    <w:rsid w:val="432C661E"/>
    <w:rsid w:val="44F3695B"/>
    <w:rsid w:val="46C861F8"/>
    <w:rsid w:val="474100E5"/>
    <w:rsid w:val="49E228DD"/>
    <w:rsid w:val="4BE64232"/>
    <w:rsid w:val="4CD9088A"/>
    <w:rsid w:val="4E0551C0"/>
    <w:rsid w:val="4E5C053B"/>
    <w:rsid w:val="50486665"/>
    <w:rsid w:val="508602F1"/>
    <w:rsid w:val="51CA588E"/>
    <w:rsid w:val="52383A55"/>
    <w:rsid w:val="52E57E5E"/>
    <w:rsid w:val="53671292"/>
    <w:rsid w:val="53E0589B"/>
    <w:rsid w:val="53E064CC"/>
    <w:rsid w:val="56E124F6"/>
    <w:rsid w:val="5A336221"/>
    <w:rsid w:val="5AA31640"/>
    <w:rsid w:val="5B6C1786"/>
    <w:rsid w:val="5D594BCE"/>
    <w:rsid w:val="5F873046"/>
    <w:rsid w:val="615D4785"/>
    <w:rsid w:val="61836816"/>
    <w:rsid w:val="633026DF"/>
    <w:rsid w:val="6539250E"/>
    <w:rsid w:val="656A482E"/>
    <w:rsid w:val="65E3594A"/>
    <w:rsid w:val="671A70F8"/>
    <w:rsid w:val="68610A2D"/>
    <w:rsid w:val="68EB1B7B"/>
    <w:rsid w:val="6B7B345C"/>
    <w:rsid w:val="6C780B23"/>
    <w:rsid w:val="6D530F94"/>
    <w:rsid w:val="6D7E1DFA"/>
    <w:rsid w:val="6F1252EE"/>
    <w:rsid w:val="6F7C4793"/>
    <w:rsid w:val="703F784C"/>
    <w:rsid w:val="709C4AC1"/>
    <w:rsid w:val="70C467BE"/>
    <w:rsid w:val="71247577"/>
    <w:rsid w:val="729C327D"/>
    <w:rsid w:val="72D43EBE"/>
    <w:rsid w:val="73382047"/>
    <w:rsid w:val="733A44FD"/>
    <w:rsid w:val="736B1891"/>
    <w:rsid w:val="73D64246"/>
    <w:rsid w:val="75D87BF8"/>
    <w:rsid w:val="76CB42A5"/>
    <w:rsid w:val="77DD57DD"/>
    <w:rsid w:val="781A5C1C"/>
    <w:rsid w:val="78397536"/>
    <w:rsid w:val="7876740E"/>
    <w:rsid w:val="7CD90A9C"/>
    <w:rsid w:val="7E513A34"/>
    <w:rsid w:val="7F8A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5">
    <w:name w:val="heading 1"/>
    <w:basedOn w:val="1"/>
    <w:next w:val="1"/>
    <w:qFormat/>
    <w:uiPriority w:val="0"/>
    <w:pPr>
      <w:keepNext/>
      <w:keepLines/>
      <w:spacing w:before="240" w:after="240" w:line="600" w:lineRule="exact"/>
      <w:jc w:val="center"/>
      <w:outlineLvl w:val="0"/>
    </w:pPr>
    <w:rPr>
      <w:rFonts w:eastAsia="方正小标宋简体"/>
      <w:bCs/>
      <w:kern w:val="44"/>
      <w:sz w:val="44"/>
      <w:szCs w:val="44"/>
    </w:rPr>
  </w:style>
  <w:style w:type="paragraph" w:styleId="6">
    <w:name w:val="heading 3"/>
    <w:basedOn w:val="1"/>
    <w:next w:val="7"/>
    <w:qFormat/>
    <w:uiPriority w:val="0"/>
    <w:pPr>
      <w:keepNext/>
      <w:keepLines/>
      <w:spacing w:before="260" w:after="260" w:line="416" w:lineRule="auto"/>
      <w:jc w:val="center"/>
      <w:outlineLvl w:val="2"/>
    </w:pPr>
    <w:rPr>
      <w:rFonts w:ascii="宋体" w:hAnsi="宋体"/>
      <w:bCs/>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360" w:lineRule="auto"/>
      <w:ind w:left="435"/>
    </w:pPr>
    <w:rPr>
      <w:rFonts w:ascii="Times New Roman" w:hAnsi="Times New Roman"/>
      <w:kern w:val="0"/>
      <w:szCs w:val="20"/>
    </w:rPr>
  </w:style>
  <w:style w:type="paragraph" w:styleId="4">
    <w:name w:val="envelope return"/>
    <w:basedOn w:val="1"/>
    <w:qFormat/>
    <w:uiPriority w:val="0"/>
    <w:pPr>
      <w:snapToGrid w:val="0"/>
    </w:pPr>
    <w:rPr>
      <w:rFonts w:ascii="Arial" w:hAnsi="Arial"/>
      <w:szCs w:val="20"/>
    </w:rPr>
  </w:style>
  <w:style w:type="paragraph" w:styleId="7">
    <w:name w:val="Normal Indent"/>
    <w:basedOn w:val="1"/>
    <w:unhideWhenUsed/>
    <w:qFormat/>
    <w:uiPriority w:val="99"/>
    <w:pPr>
      <w:ind w:firstLine="420" w:firstLineChars="200"/>
    </w:pPr>
  </w:style>
  <w:style w:type="paragraph" w:styleId="8">
    <w:name w:val="annotation text"/>
    <w:basedOn w:val="1"/>
    <w:qFormat/>
    <w:uiPriority w:val="0"/>
    <w:rPr>
      <w:kern w:val="0"/>
      <w:szCs w:val="20"/>
    </w:rPr>
  </w:style>
  <w:style w:type="paragraph" w:styleId="9">
    <w:name w:val="Body Text"/>
    <w:basedOn w:val="1"/>
    <w:next w:val="1"/>
    <w:qFormat/>
    <w:uiPriority w:val="0"/>
    <w:rPr>
      <w:rFonts w:ascii="宋体" w:hAnsi="Arial"/>
      <w:sz w:val="28"/>
      <w:szCs w:val="20"/>
    </w:rPr>
  </w:style>
  <w:style w:type="paragraph" w:styleId="10">
    <w:name w:val="Plain Text"/>
    <w:basedOn w:val="1"/>
    <w:qFormat/>
    <w:uiPriority w:val="99"/>
    <w:rPr>
      <w:rFonts w:ascii="宋体" w:hAnsi="Courier New"/>
      <w:kern w:val="0"/>
      <w:sz w:val="21"/>
      <w:szCs w:val="20"/>
    </w:rPr>
  </w:style>
  <w:style w:type="paragraph" w:styleId="11">
    <w:name w:val="footer"/>
    <w:basedOn w:val="1"/>
    <w:qFormat/>
    <w:uiPriority w:val="99"/>
    <w:pPr>
      <w:tabs>
        <w:tab w:val="center" w:pos="4153"/>
        <w:tab w:val="right" w:pos="8306"/>
      </w:tabs>
      <w:snapToGrid w:val="0"/>
    </w:pPr>
    <w:rPr>
      <w:kern w:val="0"/>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qFormat/>
    <w:uiPriority w:val="39"/>
    <w:pPr>
      <w:spacing w:before="120" w:after="120"/>
      <w:jc w:val="center"/>
    </w:pPr>
    <w:rPr>
      <w:b/>
      <w:bCs/>
      <w:caps/>
      <w:sz w:val="20"/>
      <w:szCs w:val="20"/>
    </w:rPr>
  </w:style>
  <w:style w:type="paragraph" w:styleId="14">
    <w:name w:val="footnote text"/>
    <w:basedOn w:val="1"/>
    <w:qFormat/>
    <w:uiPriority w:val="99"/>
    <w:pPr>
      <w:snapToGrid w:val="0"/>
    </w:pPr>
    <w:rPr>
      <w:sz w:val="18"/>
      <w:szCs w:val="20"/>
    </w:rPr>
  </w:style>
  <w:style w:type="paragraph" w:styleId="15">
    <w:name w:val="Normal (Web)"/>
    <w:basedOn w:val="1"/>
    <w:qFormat/>
    <w:uiPriority w:val="0"/>
    <w:pPr>
      <w:widowControl/>
      <w:spacing w:before="100" w:beforeAutospacing="1" w:after="100" w:afterAutospacing="1"/>
    </w:pPr>
    <w:rPr>
      <w:rFonts w:ascii="宋体" w:hAnsi="宋体"/>
      <w:kern w:val="0"/>
    </w:rPr>
  </w:style>
  <w:style w:type="character" w:styleId="18">
    <w:name w:val="page number"/>
    <w:basedOn w:val="17"/>
    <w:qFormat/>
    <w:uiPriority w:val="0"/>
    <w:rPr>
      <w:rFonts w:cs="Times New Roman"/>
    </w:rPr>
  </w:style>
  <w:style w:type="character" w:styleId="19">
    <w:name w:val="footnote reference"/>
    <w:qFormat/>
    <w:uiPriority w:val="99"/>
    <w:rPr>
      <w:rFonts w:cs="Times New Roman"/>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标题 21"/>
    <w:basedOn w:val="1"/>
    <w:qFormat/>
    <w:uiPriority w:val="1"/>
    <w:pPr>
      <w:ind w:left="100" w:right="102"/>
      <w:outlineLvl w:val="2"/>
    </w:pPr>
    <w:rPr>
      <w:rFonts w:ascii="Microsoft JhengHei" w:hAnsi="Microsoft JhengHei" w:eastAsia="Microsoft JhengHei" w:cs="Microsoft JhengHei"/>
      <w:b/>
      <w:bCs/>
      <w:kern w:val="0"/>
      <w:sz w:val="32"/>
      <w:szCs w:val="32"/>
      <w:lang w:eastAsia="en-US"/>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CCF44-8798-4824-A4B4-D521C50F08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2986</Words>
  <Characters>17024</Characters>
  <Lines>141</Lines>
  <Paragraphs>39</Paragraphs>
  <TotalTime>2</TotalTime>
  <ScaleCrop>false</ScaleCrop>
  <LinksUpToDate>false</LinksUpToDate>
  <CharactersWithSpaces>19971</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win70002</dc:creator>
  <cp:lastModifiedBy>徐彦</cp:lastModifiedBy>
  <cp:lastPrinted>2020-03-06T08:36:00Z</cp:lastPrinted>
  <dcterms:modified xsi:type="dcterms:W3CDTF">2020-04-15T02:09:41Z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