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Style w:val="9"/>
          <w:rFonts w:hint="eastAsia"/>
          <w:i w:val="0"/>
          <w:highlight w:val="none"/>
        </w:rPr>
      </w:pPr>
      <w:bookmarkStart w:id="0" w:name="_Toc18149"/>
      <w:r>
        <w:rPr>
          <w:rStyle w:val="9"/>
          <w:rFonts w:hint="eastAsia"/>
          <w:i w:val="0"/>
          <w:sz w:val="22"/>
          <w:highlight w:val="none"/>
        </w:rPr>
        <w:t>附录1   资格审查条件（资质最低条件）</w:t>
      </w:r>
      <w:bookmarkEnd w:id="0"/>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072" w:type="dxa"/>
            <w:noWrap w:val="0"/>
            <w:vAlign w:val="center"/>
          </w:tcPr>
          <w:p>
            <w:pPr>
              <w:spacing w:line="360" w:lineRule="auto"/>
              <w:jc w:val="center"/>
              <w:rPr>
                <w:rFonts w:ascii="Times New Roman" w:hAnsi="Times New Roman"/>
                <w:szCs w:val="21"/>
                <w:highlight w:val="none"/>
              </w:rPr>
            </w:pPr>
            <w:r>
              <w:rPr>
                <w:rFonts w:ascii="Times New Roman" w:hAnsi="Times New Roman"/>
                <w:sz w:val="22"/>
                <w:szCs w:val="21"/>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9072" w:type="dxa"/>
            <w:noWrap w:val="0"/>
            <w:vAlign w:val="center"/>
          </w:tcPr>
          <w:p>
            <w:pPr>
              <w:spacing w:line="360" w:lineRule="auto"/>
              <w:rPr>
                <w:rFonts w:ascii="Times New Roman" w:hAnsi="Times New Roman"/>
                <w:szCs w:val="21"/>
                <w:highlight w:val="none"/>
              </w:rPr>
            </w:pPr>
            <w:r>
              <w:rPr>
                <w:rFonts w:ascii="Times New Roman" w:hAnsi="Times New Roman"/>
                <w:sz w:val="22"/>
                <w:szCs w:val="21"/>
                <w:highlight w:val="none"/>
              </w:rPr>
              <w:t>具备独立法人资格、有效营业执照、有效安全生产许可证；具有公路交通工程专业承包</w:t>
            </w:r>
            <w:r>
              <w:rPr>
                <w:rFonts w:hint="eastAsia" w:ascii="Times New Roman" w:hAnsi="Times New Roman"/>
                <w:sz w:val="22"/>
                <w:szCs w:val="21"/>
                <w:highlight w:val="none"/>
              </w:rPr>
              <w:t>二级及以上资质</w:t>
            </w:r>
            <w:r>
              <w:rPr>
                <w:rFonts w:ascii="Times New Roman" w:hAnsi="Times New Roman"/>
                <w:sz w:val="22"/>
                <w:szCs w:val="21"/>
                <w:highlight w:val="none"/>
              </w:rPr>
              <w:t>（公路机电工程分项）</w:t>
            </w:r>
            <w:r>
              <w:rPr>
                <w:rFonts w:hint="eastAsia" w:ascii="Times New Roman" w:hAnsi="Times New Roman"/>
                <w:sz w:val="22"/>
                <w:szCs w:val="21"/>
                <w:highlight w:val="none"/>
              </w:rPr>
              <w:t>或具备电子与智能化工程专业承包二级及以上资质</w:t>
            </w:r>
            <w:r>
              <w:rPr>
                <w:rFonts w:ascii="Times New Roman" w:hAnsi="Times New Roman"/>
                <w:sz w:val="22"/>
                <w:szCs w:val="21"/>
                <w:highlight w:val="none"/>
              </w:rPr>
              <w:t>。</w:t>
            </w:r>
          </w:p>
        </w:tc>
      </w:tr>
    </w:tbl>
    <w:p>
      <w:pPr>
        <w:pStyle w:val="2"/>
        <w:rPr>
          <w:highlight w:val="none"/>
        </w:rPr>
      </w:pPr>
    </w:p>
    <w:p>
      <w:pPr>
        <w:pStyle w:val="5"/>
        <w:rPr>
          <w:rStyle w:val="9"/>
          <w:i w:val="0"/>
          <w:highlight w:val="none"/>
        </w:rPr>
      </w:pPr>
      <w:bookmarkStart w:id="1" w:name="_Toc6971"/>
      <w:bookmarkStart w:id="2" w:name="_Toc28096"/>
      <w:bookmarkStart w:id="3" w:name="_Toc26151"/>
      <w:bookmarkStart w:id="4" w:name="_Toc18071"/>
      <w:bookmarkStart w:id="5" w:name="_Toc6002"/>
      <w:bookmarkStart w:id="6" w:name="_Toc14008"/>
      <w:bookmarkStart w:id="7" w:name="_Toc20194"/>
      <w:bookmarkStart w:id="8" w:name="_Toc2540"/>
      <w:r>
        <w:rPr>
          <w:rStyle w:val="9"/>
          <w:i w:val="0"/>
          <w:sz w:val="22"/>
          <w:highlight w:val="none"/>
        </w:rPr>
        <w:t>附录2   资格审查条件（业绩最低要求）</w:t>
      </w:r>
      <w:bookmarkEnd w:id="1"/>
      <w:bookmarkEnd w:id="2"/>
      <w:bookmarkEnd w:id="3"/>
      <w:bookmarkEnd w:id="4"/>
      <w:bookmarkEnd w:id="5"/>
      <w:bookmarkEnd w:id="6"/>
      <w:bookmarkEnd w:id="7"/>
      <w:bookmarkEnd w:id="8"/>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072" w:type="dxa"/>
            <w:noWrap w:val="0"/>
            <w:vAlign w:val="center"/>
          </w:tcPr>
          <w:p>
            <w:pPr>
              <w:spacing w:line="360" w:lineRule="auto"/>
              <w:jc w:val="center"/>
              <w:rPr>
                <w:rFonts w:ascii="Times New Roman" w:hAnsi="Times New Roman"/>
                <w:szCs w:val="21"/>
                <w:highlight w:val="none"/>
              </w:rPr>
            </w:pPr>
            <w:r>
              <w:rPr>
                <w:rFonts w:ascii="Times New Roman" w:hAnsi="Times New Roman"/>
                <w:sz w:val="22"/>
                <w:szCs w:val="21"/>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072" w:type="dxa"/>
            <w:noWrap w:val="0"/>
            <w:vAlign w:val="center"/>
          </w:tcPr>
          <w:p>
            <w:pPr>
              <w:spacing w:line="360" w:lineRule="auto"/>
              <w:rPr>
                <w:rFonts w:ascii="Times New Roman" w:hAnsi="Times New Roman"/>
                <w:szCs w:val="21"/>
                <w:highlight w:val="none"/>
              </w:rPr>
            </w:pPr>
            <w:r>
              <w:rPr>
                <w:rFonts w:ascii="Times New Roman" w:hAnsi="Times New Roman"/>
                <w:sz w:val="22"/>
                <w:szCs w:val="21"/>
                <w:highlight w:val="none"/>
              </w:rPr>
              <w:t>近</w:t>
            </w:r>
            <w:r>
              <w:rPr>
                <w:rFonts w:hint="eastAsia" w:ascii="Times New Roman" w:hAnsi="Times New Roman"/>
                <w:sz w:val="22"/>
                <w:szCs w:val="21"/>
                <w:highlight w:val="none"/>
                <w:lang w:eastAsia="zh-CN"/>
              </w:rPr>
              <w:t>三</w:t>
            </w:r>
            <w:r>
              <w:rPr>
                <w:rFonts w:ascii="Times New Roman" w:hAnsi="Times New Roman"/>
                <w:sz w:val="22"/>
                <w:szCs w:val="21"/>
                <w:highlight w:val="none"/>
              </w:rPr>
              <w:t>年（20</w:t>
            </w:r>
            <w:r>
              <w:rPr>
                <w:rFonts w:hint="eastAsia" w:ascii="Times New Roman" w:hAnsi="Times New Roman"/>
                <w:sz w:val="22"/>
                <w:szCs w:val="21"/>
                <w:highlight w:val="none"/>
                <w:u w:val="single"/>
                <w:lang w:val="en-US" w:eastAsia="zh-CN"/>
              </w:rPr>
              <w:t>17</w:t>
            </w:r>
            <w:r>
              <w:rPr>
                <w:rFonts w:ascii="Times New Roman" w:hAnsi="Times New Roman"/>
                <w:sz w:val="22"/>
                <w:szCs w:val="21"/>
                <w:highlight w:val="none"/>
              </w:rPr>
              <w:t>年1月1日至今</w:t>
            </w:r>
            <w:r>
              <w:rPr>
                <w:rFonts w:hint="eastAsia" w:ascii="Times New Roman" w:hAnsi="Times New Roman"/>
                <w:sz w:val="22"/>
                <w:szCs w:val="21"/>
                <w:highlight w:val="none"/>
                <w:lang w:eastAsia="zh-CN"/>
              </w:rPr>
              <w:t>，以合同签订时间为准</w:t>
            </w:r>
            <w:r>
              <w:rPr>
                <w:rFonts w:ascii="Times New Roman" w:hAnsi="Times New Roman"/>
                <w:sz w:val="22"/>
                <w:szCs w:val="21"/>
                <w:highlight w:val="none"/>
              </w:rPr>
              <w:t>），</w:t>
            </w:r>
            <w:r>
              <w:rPr>
                <w:rFonts w:hint="eastAsia" w:ascii="宋体" w:hAnsi="宋体"/>
                <w:color w:val="auto"/>
                <w:highlight w:val="none"/>
              </w:rPr>
              <w:t>企业至少承接过</w:t>
            </w:r>
            <w:r>
              <w:rPr>
                <w:rFonts w:hint="eastAsia" w:ascii="宋体" w:hAnsi="宋体"/>
                <w:color w:val="auto"/>
                <w:highlight w:val="none"/>
                <w:lang w:eastAsia="zh-CN"/>
              </w:rPr>
              <w:t>一个不低于</w:t>
            </w:r>
            <w:r>
              <w:rPr>
                <w:rFonts w:hint="eastAsia" w:ascii="宋体" w:hAnsi="宋体"/>
                <w:color w:val="auto"/>
                <w:highlight w:val="none"/>
                <w:lang w:val="en-US" w:eastAsia="zh-CN"/>
              </w:rPr>
              <w:t>50万元的机电工程或</w:t>
            </w:r>
            <w:r>
              <w:rPr>
                <w:rFonts w:hint="eastAsia" w:ascii="宋体" w:hAnsi="宋体"/>
                <w:color w:val="auto"/>
                <w:highlight w:val="none"/>
              </w:rPr>
              <w:t>一个不低于</w:t>
            </w:r>
            <w:r>
              <w:rPr>
                <w:rFonts w:hint="eastAsia" w:ascii="宋体" w:hAnsi="宋体"/>
                <w:color w:val="auto"/>
                <w:highlight w:val="none"/>
                <w:lang w:val="en-US" w:eastAsia="zh-CN"/>
              </w:rPr>
              <w:t>20</w:t>
            </w:r>
            <w:r>
              <w:rPr>
                <w:rFonts w:hint="eastAsia" w:ascii="宋体" w:hAnsi="宋体"/>
                <w:color w:val="auto"/>
                <w:highlight w:val="none"/>
              </w:rPr>
              <w:t>万元的机电系统</w:t>
            </w:r>
            <w:r>
              <w:rPr>
                <w:rFonts w:hint="eastAsia" w:ascii="宋体" w:hAnsi="宋体"/>
                <w:color w:val="auto"/>
                <w:highlight w:val="none"/>
                <w:lang w:eastAsia="zh-CN"/>
              </w:rPr>
              <w:t>（须含通信、监控系统）</w:t>
            </w:r>
            <w:r>
              <w:rPr>
                <w:rFonts w:hint="eastAsia" w:ascii="宋体" w:hAnsi="宋体"/>
                <w:color w:val="auto"/>
                <w:highlight w:val="none"/>
              </w:rPr>
              <w:t>维护的业绩。</w:t>
            </w:r>
          </w:p>
        </w:tc>
      </w:tr>
    </w:tbl>
    <w:p>
      <w:pPr>
        <w:spacing w:line="360" w:lineRule="auto"/>
        <w:rPr>
          <w:rFonts w:hint="eastAsia" w:ascii="Times New Roman" w:hAnsi="Times New Roman"/>
          <w:sz w:val="21"/>
          <w:szCs w:val="21"/>
          <w:highlight w:val="none"/>
        </w:rPr>
      </w:pPr>
      <w:bookmarkStart w:id="9" w:name="_Toc24636"/>
      <w:bookmarkStart w:id="10" w:name="_Toc9563"/>
      <w:bookmarkStart w:id="11" w:name="_Toc12415"/>
      <w:bookmarkStart w:id="12" w:name="_Toc31836"/>
      <w:bookmarkStart w:id="13" w:name="_Toc19978"/>
      <w:bookmarkStart w:id="14" w:name="_Toc24848"/>
      <w:bookmarkStart w:id="15" w:name="_Toc4540"/>
      <w:bookmarkStart w:id="16" w:name="_Toc27855"/>
      <w:r>
        <w:rPr>
          <w:rFonts w:hint="eastAsia" w:ascii="Times New Roman" w:hAnsi="Times New Roman"/>
          <w:sz w:val="21"/>
          <w:szCs w:val="21"/>
          <w:highlight w:val="none"/>
        </w:rPr>
        <w:t>注：1、若合同协议书中无法</w:t>
      </w:r>
      <w:r>
        <w:rPr>
          <w:rFonts w:hint="eastAsia" w:ascii="Times New Roman" w:hAnsi="Times New Roman"/>
          <w:sz w:val="21"/>
          <w:szCs w:val="21"/>
          <w:highlight w:val="none"/>
          <w:lang w:eastAsia="zh-CN"/>
        </w:rPr>
        <w:t>体现</w:t>
      </w:r>
      <w:r>
        <w:rPr>
          <w:rFonts w:hint="eastAsia" w:ascii="Times New Roman" w:hAnsi="Times New Roman"/>
          <w:sz w:val="21"/>
          <w:szCs w:val="21"/>
          <w:highlight w:val="none"/>
        </w:rPr>
        <w:t>通信、监控系统相关内容的，须提供业主证明</w:t>
      </w:r>
      <w:r>
        <w:rPr>
          <w:rFonts w:hint="eastAsia" w:eastAsia="宋体" w:cs="Times New Roman"/>
          <w:color w:val="auto"/>
          <w:kern w:val="0"/>
          <w:sz w:val="21"/>
          <w:szCs w:val="22"/>
          <w:highlight w:val="none"/>
          <w:lang w:val="en-US" w:eastAsia="zh-CN"/>
        </w:rPr>
        <w:t>或</w:t>
      </w:r>
      <w:r>
        <w:rPr>
          <w:rFonts w:hint="eastAsia" w:ascii="宋体" w:hAnsi="宋体" w:eastAsia="宋体" w:cs="Times New Roman"/>
          <w:color w:val="auto"/>
          <w:kern w:val="0"/>
          <w:sz w:val="21"/>
          <w:szCs w:val="22"/>
          <w:highlight w:val="none"/>
          <w:lang w:val="en-US" w:eastAsia="zh-CN"/>
        </w:rPr>
        <w:t>验收证书</w:t>
      </w:r>
      <w:r>
        <w:rPr>
          <w:rFonts w:hint="eastAsia" w:ascii="Times New Roman" w:hAnsi="Times New Roman"/>
          <w:sz w:val="21"/>
          <w:szCs w:val="21"/>
          <w:highlight w:val="none"/>
        </w:rPr>
        <w:t>等其他证明材料。</w:t>
      </w:r>
    </w:p>
    <w:p>
      <w:pPr>
        <w:pStyle w:val="2"/>
        <w:ind w:left="0" w:leftChars="0" w:firstLine="0" w:firstLineChars="0"/>
        <w:rPr>
          <w:rFonts w:hint="default" w:eastAsia="宋体"/>
          <w:lang w:val="en-US" w:eastAsia="zh-CN"/>
        </w:rPr>
      </w:pPr>
      <w:r>
        <w:rPr>
          <w:rFonts w:hint="eastAsia"/>
          <w:sz w:val="21"/>
          <w:szCs w:val="21"/>
          <w:highlight w:val="none"/>
          <w:lang w:val="en-US" w:eastAsia="zh-CN"/>
        </w:rPr>
        <w:t>2、如一个机电系统维护项目业绩的合同协议书中无法同时体现</w:t>
      </w:r>
      <w:r>
        <w:rPr>
          <w:rFonts w:hint="eastAsia" w:ascii="Times New Roman" w:hAnsi="Times New Roman"/>
          <w:sz w:val="21"/>
          <w:szCs w:val="21"/>
          <w:highlight w:val="none"/>
        </w:rPr>
        <w:t>通信、监控系统相关内容的</w:t>
      </w:r>
      <w:r>
        <w:rPr>
          <w:rFonts w:hint="eastAsia"/>
          <w:sz w:val="21"/>
          <w:szCs w:val="21"/>
          <w:highlight w:val="none"/>
          <w:lang w:eastAsia="zh-CN"/>
        </w:rPr>
        <w:t>，允许提供两个</w:t>
      </w:r>
      <w:r>
        <w:rPr>
          <w:rFonts w:hint="eastAsia" w:ascii="宋体" w:hAnsi="宋体"/>
          <w:color w:val="auto"/>
          <w:highlight w:val="none"/>
        </w:rPr>
        <w:t>不低于</w:t>
      </w:r>
      <w:r>
        <w:rPr>
          <w:rFonts w:hint="eastAsia" w:ascii="宋体" w:hAnsi="宋体"/>
          <w:color w:val="auto"/>
          <w:highlight w:val="none"/>
          <w:lang w:val="en-US" w:eastAsia="zh-CN"/>
        </w:rPr>
        <w:t>20</w:t>
      </w:r>
      <w:r>
        <w:rPr>
          <w:rFonts w:hint="eastAsia" w:ascii="宋体" w:hAnsi="宋体"/>
          <w:color w:val="auto"/>
          <w:highlight w:val="none"/>
        </w:rPr>
        <w:t>万元的机电系统维护的业绩</w:t>
      </w:r>
      <w:r>
        <w:rPr>
          <w:rFonts w:hint="eastAsia" w:ascii="宋体" w:hAnsi="宋体"/>
          <w:color w:val="auto"/>
          <w:highlight w:val="none"/>
          <w:lang w:eastAsia="zh-CN"/>
        </w:rPr>
        <w:t>（分别含有通信系统和监控系统），此两个项目业绩视同为一个满足资格审查要求和业绩加分项的业绩。</w:t>
      </w:r>
    </w:p>
    <w:p>
      <w:pPr>
        <w:spacing w:line="360" w:lineRule="auto"/>
        <w:rPr>
          <w:rFonts w:ascii="Times New Roman" w:hAnsi="Times New Roman"/>
          <w:sz w:val="21"/>
          <w:szCs w:val="21"/>
          <w:highlight w:val="none"/>
        </w:rPr>
      </w:pPr>
      <w:r>
        <w:rPr>
          <w:rFonts w:hint="eastAsia" w:ascii="Times New Roman" w:hAnsi="Times New Roman"/>
          <w:sz w:val="21"/>
          <w:szCs w:val="21"/>
          <w:highlight w:val="none"/>
          <w:lang w:val="en-US" w:eastAsia="zh-CN"/>
        </w:rPr>
        <w:t>3</w:t>
      </w:r>
      <w:r>
        <w:rPr>
          <w:rFonts w:hint="eastAsia" w:ascii="Times New Roman" w:hAnsi="Times New Roman"/>
          <w:sz w:val="21"/>
          <w:szCs w:val="21"/>
          <w:highlight w:val="none"/>
        </w:rPr>
        <w:t>、如近年来，投标人法人机构发生合法变更或重组或法人名称变更时，应提供相关部门的合法批件或其他相关证明材料来证明其所附业绩的继承性。</w:t>
      </w:r>
    </w:p>
    <w:p>
      <w:pPr>
        <w:pStyle w:val="5"/>
        <w:rPr>
          <w:rStyle w:val="9"/>
          <w:i w:val="0"/>
          <w:highlight w:val="none"/>
        </w:rPr>
      </w:pPr>
      <w:r>
        <w:rPr>
          <w:rStyle w:val="9"/>
          <w:i w:val="0"/>
          <w:sz w:val="22"/>
          <w:highlight w:val="none"/>
        </w:rPr>
        <w:t>附录3   资格审查条件（信誉最低要求）</w:t>
      </w:r>
      <w:bookmarkEnd w:id="9"/>
    </w:p>
    <w:bookmarkEnd w:id="10"/>
    <w:bookmarkEnd w:id="11"/>
    <w:bookmarkEnd w:id="12"/>
    <w:bookmarkEnd w:id="13"/>
    <w:bookmarkEnd w:id="14"/>
    <w:bookmarkEnd w:id="15"/>
    <w:bookmarkEnd w:id="16"/>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072" w:type="dxa"/>
            <w:noWrap w:val="0"/>
            <w:vAlign w:val="center"/>
          </w:tcPr>
          <w:p>
            <w:pPr>
              <w:spacing w:line="360" w:lineRule="auto"/>
              <w:jc w:val="center"/>
              <w:rPr>
                <w:rFonts w:ascii="Times New Roman" w:hAnsi="Times New Roman"/>
                <w:szCs w:val="21"/>
                <w:highlight w:val="none"/>
              </w:rPr>
            </w:pPr>
            <w:r>
              <w:rPr>
                <w:rFonts w:ascii="Times New Roman" w:hAnsi="Times New Roman"/>
                <w:sz w:val="22"/>
                <w:szCs w:val="21"/>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072" w:type="dxa"/>
            <w:noWrap w:val="0"/>
            <w:vAlign w:val="center"/>
          </w:tcPr>
          <w:p>
            <w:pPr>
              <w:spacing w:line="276" w:lineRule="auto"/>
              <w:ind w:firstLine="220" w:firstLineChars="100"/>
              <w:rPr>
                <w:rFonts w:ascii="Times New Roman" w:hAnsi="Times New Roman"/>
                <w:sz w:val="22"/>
                <w:szCs w:val="21"/>
                <w:highlight w:val="none"/>
              </w:rPr>
            </w:pPr>
            <w:r>
              <w:rPr>
                <w:rFonts w:ascii="Times New Roman" w:hAnsi="Times New Roman"/>
                <w:sz w:val="22"/>
                <w:szCs w:val="21"/>
                <w:highlight w:val="none"/>
              </w:rPr>
              <w:t>1.没有被</w:t>
            </w:r>
            <w:r>
              <w:rPr>
                <w:rFonts w:ascii="Times New Roman" w:hAnsi="Times New Roman"/>
                <w:sz w:val="22"/>
                <w:szCs w:val="22"/>
                <w:highlight w:val="none"/>
              </w:rPr>
              <w:t>交通运输部或安徽省交通运输厅</w:t>
            </w:r>
            <w:r>
              <w:rPr>
                <w:rFonts w:ascii="Times New Roman" w:hAnsi="Times New Roman"/>
                <w:sz w:val="22"/>
                <w:szCs w:val="21"/>
                <w:highlight w:val="none"/>
              </w:rPr>
              <w:t>取消在安徽省的投标资格或禁止进入安徽省公路建设市场且处于有效期内的。</w:t>
            </w:r>
          </w:p>
          <w:p>
            <w:pPr>
              <w:spacing w:line="276" w:lineRule="auto"/>
              <w:ind w:firstLine="220" w:firstLineChars="100"/>
              <w:rPr>
                <w:rFonts w:ascii="Times New Roman" w:hAnsi="Times New Roman"/>
                <w:sz w:val="22"/>
                <w:highlight w:val="none"/>
              </w:rPr>
            </w:pPr>
            <w:r>
              <w:rPr>
                <w:rFonts w:ascii="Times New Roman" w:hAnsi="Times New Roman"/>
                <w:sz w:val="22"/>
                <w:highlight w:val="none"/>
              </w:rPr>
              <w:t>2.没有被责令停业，暂扣或吊销执照，或吊销资质证书。</w:t>
            </w:r>
          </w:p>
          <w:p>
            <w:pPr>
              <w:spacing w:line="276" w:lineRule="auto"/>
              <w:ind w:firstLine="220" w:firstLineChars="100"/>
              <w:rPr>
                <w:rFonts w:ascii="Times New Roman" w:hAnsi="Times New Roman"/>
                <w:sz w:val="22"/>
                <w:highlight w:val="none"/>
              </w:rPr>
            </w:pPr>
            <w:r>
              <w:rPr>
                <w:rFonts w:ascii="Times New Roman" w:hAnsi="Times New Roman"/>
                <w:sz w:val="22"/>
                <w:highlight w:val="none"/>
              </w:rPr>
              <w:t>3.没有进入清算程序，或被宣告破产，或其他丧失履约能力的情形。</w:t>
            </w:r>
          </w:p>
          <w:p>
            <w:pPr>
              <w:spacing w:line="276" w:lineRule="auto"/>
              <w:ind w:firstLine="220" w:firstLineChars="100"/>
              <w:rPr>
                <w:rFonts w:ascii="Times New Roman" w:hAnsi="Times New Roman"/>
                <w:sz w:val="22"/>
                <w:highlight w:val="none"/>
              </w:rPr>
            </w:pPr>
            <w:r>
              <w:rPr>
                <w:rFonts w:ascii="Times New Roman" w:hAnsi="Times New Roman"/>
                <w:sz w:val="22"/>
                <w:highlight w:val="none"/>
              </w:rPr>
              <w:t>4.没有在国家企业信用信息公示系统（http://www.gsxt.gov.cn）中被列入严重违法失信企业名单。</w:t>
            </w:r>
          </w:p>
          <w:p>
            <w:pPr>
              <w:spacing w:line="276" w:lineRule="auto"/>
              <w:ind w:firstLine="220" w:firstLineChars="100"/>
              <w:rPr>
                <w:rFonts w:ascii="Times New Roman" w:hAnsi="Times New Roman"/>
                <w:sz w:val="22"/>
                <w:highlight w:val="none"/>
              </w:rPr>
            </w:pPr>
            <w:r>
              <w:rPr>
                <w:rFonts w:ascii="Times New Roman" w:hAnsi="Times New Roman"/>
                <w:sz w:val="22"/>
                <w:highlight w:val="none"/>
              </w:rPr>
              <w:t>5.没有</w:t>
            </w:r>
            <w:r>
              <w:rPr>
                <w:rFonts w:ascii="Times New Roman" w:hAnsi="Times New Roman"/>
                <w:sz w:val="22"/>
                <w:highlight w:val="none"/>
              </w:rPr>
              <w:fldChar w:fldCharType="begin"/>
            </w:r>
            <w:r>
              <w:rPr>
                <w:rFonts w:ascii="Times New Roman" w:hAnsi="Times New Roman"/>
                <w:sz w:val="22"/>
                <w:highlight w:val="none"/>
              </w:rPr>
              <w:instrText xml:space="preserve"> HYPERLINK "http://www.creditchina.gov.cn/" \h </w:instrText>
            </w:r>
            <w:r>
              <w:rPr>
                <w:rFonts w:ascii="Times New Roman" w:hAnsi="Times New Roman"/>
                <w:sz w:val="22"/>
                <w:highlight w:val="none"/>
              </w:rPr>
              <w:fldChar w:fldCharType="separate"/>
            </w:r>
            <w:r>
              <w:rPr>
                <w:rFonts w:ascii="Times New Roman" w:hAnsi="Times New Roman"/>
                <w:sz w:val="22"/>
                <w:highlight w:val="none"/>
              </w:rPr>
              <w:t>在</w:t>
            </w:r>
            <w:r>
              <w:rPr>
                <w:rFonts w:hint="eastAsia" w:ascii="Times New Roman" w:hAnsi="Times New Roman"/>
                <w:sz w:val="22"/>
                <w:highlight w:val="none"/>
              </w:rPr>
              <w:t>“</w:t>
            </w:r>
            <w:r>
              <w:rPr>
                <w:rFonts w:ascii="Times New Roman" w:hAnsi="Times New Roman"/>
                <w:sz w:val="22"/>
                <w:highlight w:val="none"/>
              </w:rPr>
              <w:t>信用中国</w:t>
            </w:r>
            <w:r>
              <w:rPr>
                <w:rFonts w:hint="eastAsia" w:ascii="Times New Roman" w:hAnsi="Times New Roman"/>
                <w:sz w:val="22"/>
                <w:highlight w:val="none"/>
              </w:rPr>
              <w:t>”</w:t>
            </w:r>
            <w:r>
              <w:rPr>
                <w:rFonts w:ascii="Times New Roman" w:hAnsi="Times New Roman"/>
                <w:sz w:val="22"/>
                <w:highlight w:val="none"/>
              </w:rPr>
              <w:t>网站（http://w</w:t>
            </w:r>
            <w:r>
              <w:rPr>
                <w:rFonts w:ascii="Times New Roman" w:hAnsi="Times New Roman"/>
                <w:sz w:val="22"/>
                <w:highlight w:val="none"/>
              </w:rPr>
              <w:fldChar w:fldCharType="end"/>
            </w:r>
            <w:r>
              <w:rPr>
                <w:rFonts w:ascii="Times New Roman" w:hAnsi="Times New Roman"/>
                <w:sz w:val="22"/>
                <w:highlight w:val="none"/>
              </w:rPr>
              <w:t>w</w:t>
            </w:r>
            <w:r>
              <w:rPr>
                <w:rFonts w:ascii="Times New Roman" w:hAnsi="Times New Roman"/>
                <w:sz w:val="22"/>
                <w:highlight w:val="none"/>
              </w:rPr>
              <w:fldChar w:fldCharType="begin"/>
            </w:r>
            <w:r>
              <w:rPr>
                <w:rFonts w:ascii="Times New Roman" w:hAnsi="Times New Roman"/>
                <w:sz w:val="22"/>
                <w:highlight w:val="none"/>
              </w:rPr>
              <w:instrText xml:space="preserve"> HYPERLINK "http://www.creditchina.gov.cn/" \h </w:instrText>
            </w:r>
            <w:r>
              <w:rPr>
                <w:rFonts w:ascii="Times New Roman" w:hAnsi="Times New Roman"/>
                <w:sz w:val="22"/>
                <w:highlight w:val="none"/>
              </w:rPr>
              <w:fldChar w:fldCharType="separate"/>
            </w:r>
            <w:r>
              <w:rPr>
                <w:rFonts w:ascii="Times New Roman" w:hAnsi="Times New Roman"/>
                <w:sz w:val="22"/>
                <w:highlight w:val="none"/>
              </w:rPr>
              <w:t>w.creditchina.gov.c</w:t>
            </w:r>
            <w:r>
              <w:rPr>
                <w:rFonts w:ascii="Times New Roman" w:hAnsi="Times New Roman"/>
                <w:sz w:val="22"/>
                <w:highlight w:val="none"/>
              </w:rPr>
              <w:fldChar w:fldCharType="end"/>
            </w:r>
            <w:r>
              <w:rPr>
                <w:rFonts w:ascii="Times New Roman" w:hAnsi="Times New Roman"/>
                <w:sz w:val="22"/>
                <w:highlight w:val="none"/>
              </w:rPr>
              <w:t>n）中被列入失信被执行人名单。</w:t>
            </w:r>
          </w:p>
          <w:p>
            <w:pPr>
              <w:spacing w:line="276" w:lineRule="auto"/>
              <w:ind w:firstLine="220" w:firstLineChars="100"/>
              <w:rPr>
                <w:rFonts w:ascii="Times New Roman" w:hAnsi="Times New Roman"/>
                <w:sz w:val="22"/>
                <w:szCs w:val="21"/>
                <w:highlight w:val="none"/>
              </w:rPr>
            </w:pPr>
            <w:r>
              <w:rPr>
                <w:rFonts w:ascii="Times New Roman" w:hAnsi="Times New Roman"/>
                <w:sz w:val="22"/>
                <w:highlight w:val="none"/>
              </w:rPr>
              <w:t>6.</w:t>
            </w:r>
            <w:r>
              <w:rPr>
                <w:rFonts w:ascii="Times New Roman" w:hAnsi="Times New Roman"/>
                <w:sz w:val="22"/>
                <w:szCs w:val="21"/>
                <w:highlight w:val="none"/>
              </w:rPr>
              <w:t>近三年内投标人、投标人法定代表人、拟委任的项目负责人无行贿犯罪行为。</w:t>
            </w:r>
          </w:p>
          <w:p>
            <w:pPr>
              <w:pStyle w:val="2"/>
              <w:ind w:left="0" w:leftChars="0" w:firstLine="0" w:firstLineChars="0"/>
              <w:rPr>
                <w:rFonts w:hint="default" w:eastAsia="宋体"/>
                <w:highlight w:val="none"/>
                <w:lang w:val="en-US" w:eastAsia="zh-CN"/>
              </w:rPr>
            </w:pPr>
            <w:r>
              <w:rPr>
                <w:rFonts w:hint="eastAsia"/>
                <w:sz w:val="22"/>
                <w:szCs w:val="21"/>
                <w:highlight w:val="none"/>
                <w:lang w:val="en-US" w:eastAsia="zh-CN"/>
              </w:rPr>
              <w:t xml:space="preserve">  7.</w:t>
            </w:r>
            <w:r>
              <w:rPr>
                <w:rFonts w:hint="eastAsia" w:hAnsi="宋体"/>
                <w:color w:val="auto"/>
                <w:sz w:val="21"/>
                <w:szCs w:val="21"/>
                <w:highlight w:val="none"/>
              </w:rPr>
              <w:t>在安徽省交通控股集团有限公司及其全资、控股子公司存在放弃中标或放弃履约等不良行为。</w:t>
            </w:r>
          </w:p>
          <w:p>
            <w:pPr>
              <w:spacing w:line="276" w:lineRule="auto"/>
              <w:ind w:firstLine="220" w:firstLineChars="100"/>
              <w:rPr>
                <w:rFonts w:ascii="Times New Roman" w:hAnsi="Times New Roman"/>
                <w:sz w:val="22"/>
                <w:highlight w:val="none"/>
              </w:rPr>
            </w:pPr>
            <w:r>
              <w:rPr>
                <w:rFonts w:hint="eastAsia" w:ascii="Times New Roman" w:hAnsi="Times New Roman"/>
                <w:sz w:val="22"/>
                <w:highlight w:val="none"/>
                <w:lang w:val="en-US" w:eastAsia="zh-CN"/>
              </w:rPr>
              <w:t>8</w:t>
            </w:r>
            <w:r>
              <w:rPr>
                <w:rFonts w:ascii="Times New Roman" w:hAnsi="Times New Roman"/>
                <w:sz w:val="22"/>
                <w:highlight w:val="none"/>
              </w:rPr>
              <w:t>.交通运输部或安徽省交通运输厅最新公布的年度公路施工企业信用评价等级为C级或D级的投标人不得参与本次投标；如在交通运输部或安徽省交通运输厅最新年度等级评价公布日期之后，被交通运输部或安徽省交通运输厅通报为C级或D级的投标人也不得参与本次投标。</w:t>
            </w:r>
          </w:p>
          <w:p>
            <w:pPr>
              <w:spacing w:line="312" w:lineRule="auto"/>
              <w:ind w:firstLine="220" w:firstLineChars="100"/>
              <w:rPr>
                <w:rFonts w:ascii="Times New Roman" w:hAnsi="Times New Roman"/>
                <w:sz w:val="22"/>
                <w:szCs w:val="22"/>
                <w:highlight w:val="none"/>
              </w:rPr>
            </w:pPr>
            <w:r>
              <w:rPr>
                <w:rFonts w:hint="eastAsia" w:ascii="Times New Roman" w:hAnsi="Times New Roman"/>
                <w:sz w:val="22"/>
                <w:highlight w:val="none"/>
                <w:lang w:val="en-US" w:eastAsia="zh-CN"/>
              </w:rPr>
              <w:t>9</w:t>
            </w:r>
            <w:r>
              <w:rPr>
                <w:rFonts w:ascii="Times New Roman" w:hAnsi="Times New Roman"/>
                <w:sz w:val="22"/>
                <w:highlight w:val="none"/>
              </w:rPr>
              <w:t>.</w:t>
            </w:r>
            <w:r>
              <w:rPr>
                <w:rFonts w:ascii="Times New Roman" w:hAnsi="Times New Roman"/>
                <w:sz w:val="22"/>
                <w:szCs w:val="22"/>
                <w:highlight w:val="none"/>
              </w:rPr>
              <w:t>没有法律法规规定的其他情形。</w:t>
            </w:r>
          </w:p>
        </w:tc>
      </w:tr>
    </w:tbl>
    <w:p>
      <w:pPr>
        <w:pStyle w:val="5"/>
        <w:rPr>
          <w:rStyle w:val="9"/>
          <w:i w:val="0"/>
          <w:highlight w:val="none"/>
        </w:rPr>
      </w:pPr>
      <w:bookmarkStart w:id="17" w:name="_Toc9138"/>
      <w:bookmarkStart w:id="18" w:name="_Toc13357"/>
      <w:bookmarkStart w:id="19" w:name="_Toc17440"/>
      <w:bookmarkStart w:id="20" w:name="_Toc1477"/>
      <w:bookmarkStart w:id="21" w:name="_Toc3146"/>
      <w:bookmarkStart w:id="22" w:name="_Toc30764"/>
      <w:bookmarkStart w:id="23" w:name="_Toc3825"/>
      <w:bookmarkStart w:id="24" w:name="_Toc32606"/>
      <w:r>
        <w:rPr>
          <w:rStyle w:val="9"/>
          <w:i w:val="0"/>
          <w:sz w:val="22"/>
          <w:highlight w:val="none"/>
        </w:rPr>
        <w:br w:type="page"/>
      </w:r>
      <w:r>
        <w:rPr>
          <w:rStyle w:val="9"/>
          <w:i w:val="0"/>
          <w:sz w:val="22"/>
          <w:highlight w:val="none"/>
        </w:rPr>
        <w:t>附录4   资格审查条件（项目经理最低要求）</w:t>
      </w:r>
      <w:bookmarkEnd w:id="17"/>
      <w:bookmarkEnd w:id="18"/>
      <w:bookmarkEnd w:id="19"/>
      <w:bookmarkEnd w:id="20"/>
      <w:bookmarkEnd w:id="21"/>
      <w:bookmarkEnd w:id="22"/>
      <w:bookmarkEnd w:id="23"/>
      <w:bookmarkEnd w:id="24"/>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847"/>
        <w:gridCol w:w="67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484" w:type="dxa"/>
            <w:noWrap w:val="0"/>
            <w:vAlign w:val="center"/>
          </w:tcPr>
          <w:p>
            <w:pPr>
              <w:spacing w:line="360" w:lineRule="auto"/>
              <w:jc w:val="center"/>
              <w:rPr>
                <w:rFonts w:ascii="Times New Roman" w:hAnsi="Times New Roman"/>
                <w:szCs w:val="21"/>
                <w:highlight w:val="none"/>
              </w:rPr>
            </w:pPr>
            <w:r>
              <w:rPr>
                <w:rFonts w:ascii="Times New Roman" w:hAnsi="Times New Roman"/>
                <w:sz w:val="22"/>
                <w:szCs w:val="21"/>
                <w:highlight w:val="none"/>
              </w:rPr>
              <w:t>人  员</w:t>
            </w:r>
          </w:p>
        </w:tc>
        <w:tc>
          <w:tcPr>
            <w:tcW w:w="847" w:type="dxa"/>
            <w:noWrap w:val="0"/>
            <w:vAlign w:val="center"/>
          </w:tcPr>
          <w:p>
            <w:pPr>
              <w:spacing w:line="360" w:lineRule="auto"/>
              <w:rPr>
                <w:rFonts w:ascii="Times New Roman" w:hAnsi="Times New Roman"/>
                <w:szCs w:val="21"/>
                <w:highlight w:val="none"/>
              </w:rPr>
            </w:pPr>
            <w:r>
              <w:rPr>
                <w:rFonts w:ascii="Times New Roman" w:hAnsi="Times New Roman"/>
                <w:sz w:val="22"/>
                <w:szCs w:val="21"/>
                <w:highlight w:val="none"/>
              </w:rPr>
              <w:t>数量</w:t>
            </w:r>
          </w:p>
        </w:tc>
        <w:tc>
          <w:tcPr>
            <w:tcW w:w="6740" w:type="dxa"/>
            <w:noWrap w:val="0"/>
            <w:vAlign w:val="center"/>
          </w:tcPr>
          <w:p>
            <w:pPr>
              <w:spacing w:line="360" w:lineRule="auto"/>
              <w:jc w:val="center"/>
              <w:rPr>
                <w:rFonts w:ascii="Times New Roman" w:hAnsi="Times New Roman"/>
                <w:szCs w:val="21"/>
                <w:highlight w:val="none"/>
              </w:rPr>
            </w:pPr>
            <w:r>
              <w:rPr>
                <w:rFonts w:ascii="Times New Roman" w:hAnsi="Times New Roman"/>
                <w:sz w:val="22"/>
                <w:szCs w:val="21"/>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1484" w:type="dxa"/>
            <w:noWrap w:val="0"/>
            <w:vAlign w:val="center"/>
          </w:tcPr>
          <w:p>
            <w:pPr>
              <w:spacing w:line="360" w:lineRule="auto"/>
              <w:rPr>
                <w:rFonts w:ascii="Times New Roman" w:hAnsi="Times New Roman"/>
                <w:szCs w:val="21"/>
                <w:highlight w:val="none"/>
              </w:rPr>
            </w:pPr>
            <w:r>
              <w:rPr>
                <w:rFonts w:ascii="Times New Roman" w:hAnsi="Times New Roman"/>
                <w:sz w:val="22"/>
                <w:szCs w:val="21"/>
                <w:highlight w:val="none"/>
              </w:rPr>
              <w:t>项目经理</w:t>
            </w:r>
          </w:p>
        </w:tc>
        <w:tc>
          <w:tcPr>
            <w:tcW w:w="847" w:type="dxa"/>
            <w:noWrap w:val="0"/>
            <w:vAlign w:val="center"/>
          </w:tcPr>
          <w:p>
            <w:pPr>
              <w:spacing w:line="360" w:lineRule="auto"/>
              <w:rPr>
                <w:rFonts w:ascii="Times New Roman" w:hAnsi="Times New Roman"/>
                <w:szCs w:val="21"/>
                <w:highlight w:val="none"/>
              </w:rPr>
            </w:pPr>
            <w:r>
              <w:rPr>
                <w:rFonts w:ascii="Times New Roman" w:hAnsi="Times New Roman"/>
                <w:sz w:val="22"/>
                <w:szCs w:val="21"/>
                <w:highlight w:val="none"/>
              </w:rPr>
              <w:t>1</w:t>
            </w:r>
          </w:p>
        </w:tc>
        <w:tc>
          <w:tcPr>
            <w:tcW w:w="6740" w:type="dxa"/>
            <w:noWrap w:val="0"/>
            <w:vAlign w:val="center"/>
          </w:tcPr>
          <w:p>
            <w:pPr>
              <w:spacing w:line="360" w:lineRule="auto"/>
              <w:rPr>
                <w:rFonts w:ascii="Times New Roman" w:hAnsi="Times New Roman"/>
                <w:sz w:val="22"/>
                <w:szCs w:val="21"/>
                <w:highlight w:val="none"/>
              </w:rPr>
            </w:pPr>
            <w:r>
              <w:rPr>
                <w:rFonts w:ascii="Times New Roman" w:hAnsi="Times New Roman"/>
                <w:sz w:val="22"/>
                <w:szCs w:val="21"/>
                <w:highlight w:val="none"/>
              </w:rPr>
              <w:t>1）注册二级</w:t>
            </w:r>
            <w:r>
              <w:rPr>
                <w:rFonts w:hint="eastAsia" w:ascii="Times New Roman" w:hAnsi="Times New Roman"/>
                <w:sz w:val="22"/>
                <w:szCs w:val="21"/>
                <w:highlight w:val="none"/>
                <w:lang w:eastAsia="zh-CN"/>
              </w:rPr>
              <w:t>及以上</w:t>
            </w:r>
            <w:r>
              <w:rPr>
                <w:rFonts w:ascii="Times New Roman" w:hAnsi="Times New Roman"/>
                <w:sz w:val="22"/>
                <w:szCs w:val="21"/>
                <w:highlight w:val="none"/>
              </w:rPr>
              <w:t>建造师（机电工程专业</w:t>
            </w:r>
            <w:r>
              <w:rPr>
                <w:rFonts w:hint="eastAsia" w:ascii="宋体" w:hAnsi="宋体"/>
                <w:color w:val="auto"/>
                <w:highlight w:val="none"/>
                <w:lang w:eastAsia="zh-CN"/>
              </w:rPr>
              <w:t>或通信与广电工程专业</w:t>
            </w:r>
            <w:r>
              <w:rPr>
                <w:rFonts w:ascii="Times New Roman" w:hAnsi="Times New Roman"/>
                <w:sz w:val="22"/>
                <w:szCs w:val="21"/>
                <w:highlight w:val="none"/>
              </w:rPr>
              <w:t>）；</w:t>
            </w:r>
          </w:p>
          <w:p>
            <w:pPr>
              <w:spacing w:line="360" w:lineRule="auto"/>
              <w:rPr>
                <w:rFonts w:ascii="Times New Roman" w:hAnsi="Times New Roman"/>
                <w:sz w:val="22"/>
                <w:szCs w:val="21"/>
                <w:highlight w:val="none"/>
              </w:rPr>
            </w:pPr>
            <w:r>
              <w:rPr>
                <w:rFonts w:ascii="Times New Roman" w:hAnsi="Times New Roman"/>
                <w:sz w:val="22"/>
                <w:szCs w:val="21"/>
                <w:highlight w:val="none"/>
              </w:rPr>
              <w:t>2）持有有效的安全生产考核合格证B证；</w:t>
            </w:r>
          </w:p>
          <w:p>
            <w:pPr>
              <w:spacing w:line="360" w:lineRule="auto"/>
              <w:rPr>
                <w:rFonts w:ascii="Times New Roman" w:hAnsi="Times New Roman"/>
                <w:szCs w:val="21"/>
                <w:highlight w:val="none"/>
              </w:rPr>
            </w:pPr>
            <w:r>
              <w:rPr>
                <w:rFonts w:ascii="Times New Roman" w:hAnsi="Times New Roman"/>
                <w:sz w:val="22"/>
                <w:szCs w:val="21"/>
                <w:highlight w:val="none"/>
              </w:rPr>
              <w:t>3）</w:t>
            </w:r>
            <w:r>
              <w:rPr>
                <w:rFonts w:hint="eastAsia" w:ascii="宋体" w:hAnsi="宋体"/>
                <w:color w:val="auto"/>
                <w:highlight w:val="none"/>
                <w:lang w:eastAsia="zh-CN"/>
              </w:rPr>
              <w:t>担任过</w:t>
            </w:r>
            <w:r>
              <w:rPr>
                <w:rFonts w:hint="eastAsia" w:ascii="宋体" w:hAnsi="宋体"/>
                <w:color w:val="auto"/>
                <w:highlight w:val="none"/>
                <w:lang w:val="en-US" w:eastAsia="zh-CN"/>
              </w:rPr>
              <w:t>机电工程或</w:t>
            </w:r>
            <w:r>
              <w:rPr>
                <w:rFonts w:hint="eastAsia" w:ascii="宋体" w:hAnsi="宋体"/>
                <w:color w:val="auto"/>
                <w:highlight w:val="none"/>
                <w:lang w:eastAsia="zh-CN"/>
              </w:rPr>
              <w:t>机电系统（须含通信、监控系统）</w:t>
            </w:r>
            <w:r>
              <w:rPr>
                <w:rFonts w:hint="eastAsia"/>
                <w:color w:val="auto"/>
                <w:highlight w:val="none"/>
                <w:lang w:eastAsia="zh-CN"/>
              </w:rPr>
              <w:t>的</w:t>
            </w:r>
            <w:r>
              <w:rPr>
                <w:rFonts w:hint="eastAsia" w:ascii="宋体" w:hAnsi="宋体"/>
                <w:color w:val="auto"/>
                <w:highlight w:val="none"/>
                <w:lang w:eastAsia="zh-CN"/>
              </w:rPr>
              <w:t>维护维修项目</w:t>
            </w:r>
            <w:r>
              <w:rPr>
                <w:rFonts w:ascii="Times New Roman" w:hAnsi="Times New Roman"/>
                <w:sz w:val="22"/>
                <w:szCs w:val="21"/>
                <w:highlight w:val="none"/>
              </w:rPr>
              <w:t>业绩：1个。</w:t>
            </w:r>
          </w:p>
        </w:tc>
      </w:tr>
    </w:tbl>
    <w:p>
      <w:pPr>
        <w:rPr>
          <w:rFonts w:ascii="Times New Roman" w:hAnsi="Times New Roman"/>
          <w:szCs w:val="21"/>
          <w:highlight w:val="none"/>
        </w:rPr>
      </w:pPr>
      <w:r>
        <w:rPr>
          <w:rFonts w:ascii="Times New Roman" w:hAnsi="Times New Roman"/>
          <w:szCs w:val="21"/>
          <w:highlight w:val="none"/>
        </w:rPr>
        <w:t>注：</w:t>
      </w:r>
    </w:p>
    <w:p>
      <w:pPr>
        <w:numPr>
          <w:ilvl w:val="0"/>
          <w:numId w:val="1"/>
        </w:numPr>
        <w:rPr>
          <w:rFonts w:ascii="Times New Roman" w:hAnsi="Times New Roman"/>
          <w:szCs w:val="21"/>
          <w:highlight w:val="none"/>
        </w:rPr>
      </w:pPr>
      <w:r>
        <w:rPr>
          <w:rFonts w:ascii="Times New Roman" w:hAnsi="Times New Roman"/>
          <w:szCs w:val="21"/>
          <w:highlight w:val="none"/>
        </w:rPr>
        <w:t>以上人员必须是投标人本单位在职人员，投标人应提供社保机构出具的以上人员社保缴费信息（缴费截止时间应在投标截止时间前3个月以内，连续缴费期不低于6个月）并加盖社保机构章。</w:t>
      </w:r>
    </w:p>
    <w:p>
      <w:pPr>
        <w:pStyle w:val="2"/>
        <w:numPr>
          <w:ilvl w:val="0"/>
          <w:numId w:val="1"/>
        </w:numPr>
        <w:ind w:left="0" w:leftChars="0" w:firstLine="0" w:firstLineChars="0"/>
        <w:rPr>
          <w:rFonts w:hint="default" w:eastAsia="宋体"/>
          <w:highlight w:val="none"/>
          <w:lang w:val="en-US" w:eastAsia="zh-CN"/>
        </w:rPr>
      </w:pPr>
      <w:r>
        <w:rPr>
          <w:rFonts w:hint="eastAsia"/>
          <w:sz w:val="21"/>
          <w:szCs w:val="21"/>
          <w:highlight w:val="none"/>
          <w:lang w:val="en-US" w:eastAsia="zh-CN"/>
        </w:rPr>
        <w:t>如一个机电系统维护项目业绩的合同协议书中无法同时体现</w:t>
      </w:r>
      <w:r>
        <w:rPr>
          <w:rFonts w:hint="eastAsia" w:ascii="Times New Roman" w:hAnsi="Times New Roman"/>
          <w:sz w:val="21"/>
          <w:szCs w:val="21"/>
          <w:highlight w:val="none"/>
        </w:rPr>
        <w:t>通信、监控系统相关内容的</w:t>
      </w:r>
      <w:r>
        <w:rPr>
          <w:rFonts w:hint="eastAsia"/>
          <w:sz w:val="21"/>
          <w:szCs w:val="21"/>
          <w:highlight w:val="none"/>
          <w:lang w:eastAsia="zh-CN"/>
        </w:rPr>
        <w:t>，允许提供两个</w:t>
      </w:r>
      <w:r>
        <w:rPr>
          <w:rFonts w:hint="eastAsia" w:ascii="宋体" w:hAnsi="宋体"/>
          <w:color w:val="auto"/>
          <w:highlight w:val="none"/>
        </w:rPr>
        <w:t>机电系统维护</w:t>
      </w:r>
      <w:r>
        <w:rPr>
          <w:rFonts w:hint="eastAsia" w:ascii="宋体" w:hAnsi="宋体"/>
          <w:color w:val="auto"/>
          <w:highlight w:val="none"/>
          <w:lang w:eastAsia="zh-CN"/>
        </w:rPr>
        <w:t>维修</w:t>
      </w:r>
      <w:r>
        <w:rPr>
          <w:rFonts w:hint="eastAsia" w:ascii="宋体" w:hAnsi="宋体"/>
          <w:color w:val="auto"/>
          <w:highlight w:val="none"/>
        </w:rPr>
        <w:t>的业绩</w:t>
      </w:r>
      <w:r>
        <w:rPr>
          <w:rFonts w:hint="eastAsia" w:ascii="宋体" w:hAnsi="宋体"/>
          <w:color w:val="auto"/>
          <w:highlight w:val="none"/>
          <w:lang w:eastAsia="zh-CN"/>
        </w:rPr>
        <w:t>（分别含有通信系统和监控系统），此两个项目业绩视同为一个满足资格审查要求和项目经理业绩加分项的业绩。</w:t>
      </w:r>
    </w:p>
    <w:p>
      <w:pPr>
        <w:pStyle w:val="2"/>
        <w:numPr>
          <w:ilvl w:val="0"/>
          <w:numId w:val="1"/>
        </w:numPr>
        <w:ind w:left="0" w:leftChars="0" w:firstLine="0" w:firstLineChars="0"/>
        <w:rPr>
          <w:rFonts w:hint="default" w:eastAsia="宋体"/>
          <w:highlight w:val="none"/>
          <w:lang w:val="en-US" w:eastAsia="zh-CN"/>
        </w:rPr>
      </w:pPr>
      <w:r>
        <w:rPr>
          <w:rFonts w:hint="eastAsia"/>
          <w:highlight w:val="none"/>
          <w:lang w:val="en-US" w:eastAsia="zh-CN"/>
        </w:rPr>
        <w:t>企业业绩与项目经理业绩允许为同一业绩。</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BCA2"/>
    <w:multiLevelType w:val="singleLevel"/>
    <w:tmpl w:val="10A5BCA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0364D"/>
    <w:rsid w:val="21A0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1"/>
      <w:lang w:val="en-US" w:eastAsia="zh-CN" w:bidi="ar-SA"/>
    </w:rPr>
  </w:style>
  <w:style w:type="paragraph" w:styleId="5">
    <w:name w:val="heading 4"/>
    <w:basedOn w:val="1"/>
    <w:next w:val="6"/>
    <w:link w:val="9"/>
    <w:qFormat/>
    <w:uiPriority w:val="0"/>
    <w:pPr>
      <w:keepNext/>
      <w:adjustRightInd w:val="0"/>
      <w:spacing w:line="420" w:lineRule="atLeast"/>
      <w:ind w:firstLine="454"/>
      <w:jc w:val="center"/>
      <w:textAlignment w:val="baseline"/>
      <w:outlineLvl w:val="3"/>
    </w:pPr>
    <w:rPr>
      <w:rFonts w:ascii="Times New Roman" w:hAnsi="Times New Roman"/>
      <w:i/>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afterLines="0"/>
      <w:ind w:left="420" w:leftChars="200"/>
    </w:pPr>
    <w:rPr>
      <w:rFonts w:ascii="Times New Roman" w:hAnsi="Times New Roman"/>
      <w:kern w:val="2"/>
      <w:szCs w:val="24"/>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firstLineChars="200"/>
    </w:pPr>
  </w:style>
  <w:style w:type="character" w:customStyle="1" w:styleId="9">
    <w:name w:val="标题 4 Char"/>
    <w:link w:val="5"/>
    <w:uiPriority w:val="0"/>
    <w:rPr>
      <w:rFonts w:ascii="Times New Roman" w:hAnsi="Times New Roman"/>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2020-04-16T03:54:00Z</dcterms:created>
  <dc:creator>吴</dc:creator>
  <cp:lastModifiedBy>吴</cp:lastModifiedBy>
  <dcterms:modified xsi:type="dcterms:W3CDTF">2020-04-16T03:55:51Z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