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360" w:lineRule="auto"/>
        <w:rPr>
          <w:rStyle w:val="12"/>
          <w:rFonts w:eastAsia="黑体"/>
          <w:b w:val="0"/>
          <w:bCs/>
          <w:sz w:val="36"/>
          <w:szCs w:val="36"/>
          <w:highlight w:val="none"/>
        </w:rPr>
      </w:pPr>
      <w:bookmarkStart w:id="0" w:name="_Toc6227"/>
      <w:bookmarkStart w:id="1" w:name="_Toc11883"/>
      <w:r>
        <w:rPr>
          <w:rStyle w:val="12"/>
          <w:rFonts w:eastAsia="黑体"/>
          <w:b w:val="0"/>
          <w:bCs/>
          <w:sz w:val="36"/>
          <w:szCs w:val="36"/>
          <w:highlight w:val="none"/>
        </w:rPr>
        <w:t>第三章  评标办法(技术评分最低标价法)</w:t>
      </w:r>
      <w:bookmarkEnd w:id="0"/>
    </w:p>
    <w:bookmarkEnd w:id="1"/>
    <w:p>
      <w:pPr>
        <w:pStyle w:val="6"/>
        <w:jc w:val="both"/>
        <w:rPr>
          <w:rFonts w:hint="eastAsia"/>
          <w:szCs w:val="28"/>
          <w:highlight w:val="none"/>
          <w:lang w:val="en-US" w:eastAsia="zh-CN"/>
        </w:rPr>
      </w:pPr>
      <w:bookmarkStart w:id="2" w:name="_Toc30434"/>
      <w:bookmarkStart w:id="3" w:name="_Toc24405"/>
      <w:r>
        <w:rPr>
          <w:szCs w:val="28"/>
          <w:highlight w:val="none"/>
        </w:rPr>
        <w:t>评标办法前附表</w:t>
      </w:r>
      <w:bookmarkEnd w:id="2"/>
      <w:bookmarkEnd w:id="3"/>
      <w:bookmarkStart w:id="4" w:name="_Toc7900"/>
      <w:bookmarkStart w:id="5" w:name="_Toc16332"/>
      <w:r>
        <w:rPr>
          <w:rFonts w:hint="eastAsia"/>
          <w:szCs w:val="28"/>
          <w:highlight w:val="none"/>
          <w:lang w:val="en-US" w:eastAsia="zh-CN"/>
        </w:rPr>
        <w:t xml:space="preserve">           </w:t>
      </w:r>
    </w:p>
    <w:p>
      <w:pPr>
        <w:pStyle w:val="6"/>
        <w:jc w:val="both"/>
        <w:rPr>
          <w:rFonts w:ascii="宋体" w:hAnsi="宋体"/>
          <w:bCs/>
          <w:sz w:val="24"/>
          <w:highlight w:val="none"/>
        </w:rPr>
      </w:pPr>
      <w:r>
        <w:rPr>
          <w:rFonts w:ascii="宋体" w:hAnsi="宋体"/>
          <w:bCs/>
          <w:sz w:val="24"/>
          <w:highlight w:val="none"/>
        </w:rPr>
        <w:t>表A</w:t>
      </w:r>
      <w:bookmarkEnd w:id="4"/>
      <w:bookmarkEnd w:id="5"/>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09"/>
        <w:gridCol w:w="6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320" w:type="dxa"/>
            <w:gridSpan w:val="2"/>
            <w:noWrap w:val="0"/>
            <w:vAlign w:val="center"/>
          </w:tcPr>
          <w:p>
            <w:pPr>
              <w:jc w:val="center"/>
              <w:rPr>
                <w:rFonts w:ascii="Times New Roman" w:hAnsi="Times New Roman"/>
                <w:b/>
                <w:sz w:val="22"/>
                <w:szCs w:val="22"/>
                <w:highlight w:val="none"/>
              </w:rPr>
            </w:pPr>
            <w:r>
              <w:rPr>
                <w:rFonts w:ascii="Times New Roman" w:hAnsi="Times New Roman"/>
                <w:b/>
                <w:sz w:val="22"/>
                <w:szCs w:val="22"/>
                <w:highlight w:val="none"/>
              </w:rPr>
              <w:t>条款号</w:t>
            </w:r>
          </w:p>
        </w:tc>
        <w:tc>
          <w:tcPr>
            <w:tcW w:w="6752" w:type="dxa"/>
            <w:noWrap w:val="0"/>
            <w:vAlign w:val="center"/>
          </w:tcPr>
          <w:p>
            <w:pPr>
              <w:jc w:val="center"/>
              <w:rPr>
                <w:rFonts w:ascii="Times New Roman" w:hAnsi="Times New Roman"/>
                <w:b/>
                <w:sz w:val="22"/>
                <w:szCs w:val="22"/>
                <w:highlight w:val="none"/>
              </w:rPr>
            </w:pPr>
            <w:r>
              <w:rPr>
                <w:rFonts w:ascii="Times New Roman" w:hAnsi="Times New Roman"/>
                <w:b/>
                <w:sz w:val="22"/>
                <w:szCs w:val="22"/>
                <w:highlight w:val="none"/>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 w:type="dxa"/>
            <w:noWrap w:val="0"/>
            <w:vAlign w:val="center"/>
          </w:tcPr>
          <w:p>
            <w:pPr>
              <w:jc w:val="center"/>
              <w:rPr>
                <w:rFonts w:ascii="Times New Roman" w:hAnsi="Times New Roman"/>
                <w:sz w:val="22"/>
                <w:szCs w:val="22"/>
                <w:highlight w:val="none"/>
              </w:rPr>
            </w:pPr>
            <w:r>
              <w:rPr>
                <w:rFonts w:ascii="Times New Roman" w:hAnsi="Times New Roman"/>
                <w:sz w:val="22"/>
                <w:szCs w:val="22"/>
                <w:highlight w:val="none"/>
              </w:rPr>
              <w:t>1</w:t>
            </w:r>
          </w:p>
        </w:tc>
        <w:tc>
          <w:tcPr>
            <w:tcW w:w="1309" w:type="dxa"/>
            <w:noWrap w:val="0"/>
            <w:vAlign w:val="center"/>
          </w:tcPr>
          <w:p>
            <w:pPr>
              <w:jc w:val="center"/>
              <w:rPr>
                <w:rFonts w:ascii="Times New Roman" w:hAnsi="Times New Roman"/>
                <w:sz w:val="22"/>
                <w:szCs w:val="22"/>
                <w:highlight w:val="none"/>
              </w:rPr>
            </w:pPr>
            <w:r>
              <w:rPr>
                <w:rFonts w:ascii="Times New Roman" w:hAnsi="Times New Roman"/>
                <w:sz w:val="22"/>
                <w:szCs w:val="22"/>
                <w:highlight w:val="none"/>
              </w:rPr>
              <w:t>评标方法</w:t>
            </w:r>
          </w:p>
        </w:tc>
        <w:tc>
          <w:tcPr>
            <w:tcW w:w="6752" w:type="dxa"/>
            <w:noWrap w:val="0"/>
            <w:vAlign w:val="center"/>
          </w:tcPr>
          <w:p>
            <w:pPr>
              <w:spacing w:line="288" w:lineRule="auto"/>
              <w:rPr>
                <w:rFonts w:ascii="Times New Roman" w:hAnsi="Times New Roman"/>
                <w:sz w:val="22"/>
                <w:szCs w:val="22"/>
                <w:highlight w:val="none"/>
              </w:rPr>
            </w:pPr>
            <w:r>
              <w:rPr>
                <w:rFonts w:hint="eastAsia" w:ascii="Times New Roman" w:hAnsi="Times New Roman"/>
                <w:sz w:val="22"/>
                <w:szCs w:val="22"/>
                <w:highlight w:val="none"/>
              </w:rPr>
              <w:t>评标委员会依据评标办法，按评标价由低到高的顺序推荐中标候选人。</w:t>
            </w:r>
            <w:r>
              <w:rPr>
                <w:rFonts w:ascii="Times New Roman" w:hAnsi="Times New Roman"/>
                <w:sz w:val="22"/>
                <w:szCs w:val="22"/>
                <w:highlight w:val="none"/>
              </w:rPr>
              <w:t>评标价相等时，评标委员会依次按照以下优先顺序推荐中标候选人或确定中标人：</w:t>
            </w:r>
          </w:p>
          <w:p>
            <w:pPr>
              <w:spacing w:line="288" w:lineRule="auto"/>
              <w:rPr>
                <w:rFonts w:ascii="Times New Roman" w:hAnsi="Times New Roman"/>
                <w:sz w:val="22"/>
                <w:szCs w:val="22"/>
                <w:highlight w:val="none"/>
              </w:rPr>
            </w:pPr>
            <w:r>
              <w:rPr>
                <w:rFonts w:ascii="Times New Roman" w:hAnsi="Times New Roman"/>
                <w:sz w:val="22"/>
                <w:szCs w:val="22"/>
                <w:highlight w:val="none"/>
              </w:rPr>
              <w:t>（1）商务及技术得分较高的投标人优先；</w:t>
            </w:r>
          </w:p>
          <w:p>
            <w:pPr>
              <w:spacing w:line="288" w:lineRule="auto"/>
              <w:rPr>
                <w:rFonts w:ascii="Times New Roman" w:hAnsi="Times New Roman"/>
                <w:sz w:val="22"/>
                <w:szCs w:val="22"/>
                <w:highlight w:val="none"/>
              </w:rPr>
            </w:pPr>
            <w:r>
              <w:rPr>
                <w:rFonts w:ascii="Times New Roman" w:hAnsi="Times New Roman"/>
                <w:sz w:val="22"/>
                <w:szCs w:val="22"/>
                <w:highlight w:val="none"/>
              </w:rPr>
              <w:t>（2）投标文件提供的业绩数量多的投标人优先；</w:t>
            </w:r>
          </w:p>
          <w:p>
            <w:pPr>
              <w:spacing w:line="288" w:lineRule="auto"/>
              <w:rPr>
                <w:rFonts w:ascii="Times New Roman" w:hAnsi="Times New Roman"/>
                <w:sz w:val="22"/>
                <w:szCs w:val="22"/>
                <w:highlight w:val="none"/>
              </w:rPr>
            </w:pPr>
            <w:r>
              <w:rPr>
                <w:rFonts w:ascii="Times New Roman" w:hAnsi="Times New Roman"/>
                <w:sz w:val="22"/>
                <w:szCs w:val="22"/>
                <w:highlight w:val="none"/>
              </w:rPr>
              <w:t>（</w:t>
            </w:r>
            <w:r>
              <w:rPr>
                <w:rFonts w:hint="eastAsia" w:ascii="Times New Roman" w:hAnsi="Times New Roman"/>
                <w:sz w:val="22"/>
                <w:szCs w:val="22"/>
                <w:highlight w:val="none"/>
                <w:lang w:val="en-US" w:eastAsia="zh-CN"/>
              </w:rPr>
              <w:t>3</w:t>
            </w:r>
            <w:r>
              <w:rPr>
                <w:rFonts w:ascii="Times New Roman" w:hAnsi="Times New Roman"/>
                <w:sz w:val="22"/>
                <w:szCs w:val="22"/>
                <w:highlight w:val="none"/>
              </w:rPr>
              <w:t>）投标文件提供的</w:t>
            </w:r>
            <w:r>
              <w:rPr>
                <w:rFonts w:hint="eastAsia" w:ascii="Times New Roman" w:hAnsi="Times New Roman"/>
                <w:sz w:val="22"/>
                <w:szCs w:val="22"/>
                <w:highlight w:val="none"/>
                <w:lang w:eastAsia="zh-CN"/>
              </w:rPr>
              <w:t>业绩</w:t>
            </w:r>
            <w:r>
              <w:rPr>
                <w:rFonts w:ascii="Times New Roman" w:hAnsi="Times New Roman"/>
                <w:sz w:val="22"/>
                <w:szCs w:val="22"/>
                <w:highlight w:val="none"/>
              </w:rPr>
              <w:t>累计合同金额额大的投标人优先。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 w:type="dxa"/>
            <w:noWrap w:val="0"/>
            <w:vAlign w:val="center"/>
          </w:tcPr>
          <w:p>
            <w:pPr>
              <w:jc w:val="center"/>
              <w:rPr>
                <w:rFonts w:ascii="Times New Roman" w:hAnsi="Times New Roman"/>
                <w:sz w:val="22"/>
                <w:szCs w:val="22"/>
                <w:highlight w:val="none"/>
              </w:rPr>
            </w:pPr>
            <w:r>
              <w:rPr>
                <w:rFonts w:ascii="Times New Roman" w:hAnsi="Times New Roman"/>
                <w:sz w:val="22"/>
                <w:szCs w:val="22"/>
                <w:highlight w:val="none"/>
              </w:rPr>
              <w:t>2.1.1</w:t>
            </w:r>
          </w:p>
          <w:p>
            <w:pPr>
              <w:jc w:val="center"/>
              <w:rPr>
                <w:rFonts w:ascii="Times New Roman" w:hAnsi="Times New Roman"/>
                <w:sz w:val="22"/>
                <w:szCs w:val="22"/>
                <w:highlight w:val="none"/>
              </w:rPr>
            </w:pPr>
            <w:r>
              <w:rPr>
                <w:rFonts w:ascii="Times New Roman" w:hAnsi="Times New Roman"/>
                <w:sz w:val="22"/>
                <w:szCs w:val="22"/>
                <w:highlight w:val="none"/>
              </w:rPr>
              <w:t>2.1.3</w:t>
            </w:r>
          </w:p>
        </w:tc>
        <w:tc>
          <w:tcPr>
            <w:tcW w:w="1309" w:type="dxa"/>
            <w:noWrap w:val="0"/>
            <w:vAlign w:val="center"/>
          </w:tcPr>
          <w:p>
            <w:pPr>
              <w:jc w:val="center"/>
              <w:rPr>
                <w:rFonts w:ascii="Times New Roman" w:hAnsi="Times New Roman"/>
                <w:sz w:val="22"/>
                <w:szCs w:val="22"/>
                <w:highlight w:val="none"/>
              </w:rPr>
            </w:pPr>
            <w:r>
              <w:rPr>
                <w:rFonts w:ascii="Times New Roman" w:hAnsi="Times New Roman"/>
                <w:sz w:val="22"/>
                <w:szCs w:val="22"/>
                <w:highlight w:val="none"/>
              </w:rPr>
              <w:t>形式评审与响应性评审标准</w:t>
            </w:r>
          </w:p>
        </w:tc>
        <w:tc>
          <w:tcPr>
            <w:tcW w:w="6752" w:type="dxa"/>
            <w:noWrap w:val="0"/>
            <w:vAlign w:val="center"/>
          </w:tcPr>
          <w:p>
            <w:pPr>
              <w:spacing w:line="288" w:lineRule="auto"/>
              <w:rPr>
                <w:rFonts w:ascii="Times New Roman" w:hAnsi="Times New Roman"/>
                <w:b/>
                <w:bCs/>
                <w:sz w:val="22"/>
                <w:szCs w:val="22"/>
                <w:highlight w:val="none"/>
              </w:rPr>
            </w:pPr>
            <w:r>
              <w:rPr>
                <w:rFonts w:hint="eastAsia" w:ascii="Times New Roman" w:hAnsi="Times New Roman"/>
                <w:b/>
                <w:bCs/>
                <w:sz w:val="22"/>
                <w:szCs w:val="22"/>
                <w:highlight w:val="none"/>
              </w:rPr>
              <w:t>商务及技术文件评审标准</w:t>
            </w:r>
            <w:r>
              <w:rPr>
                <w:rFonts w:ascii="Times New Roman" w:hAnsi="Times New Roman"/>
                <w:b/>
                <w:bCs/>
                <w:sz w:val="22"/>
                <w:szCs w:val="22"/>
                <w:highlight w:val="none"/>
              </w:rPr>
              <w:t>：</w:t>
            </w:r>
          </w:p>
          <w:p>
            <w:pPr>
              <w:spacing w:line="288" w:lineRule="auto"/>
              <w:rPr>
                <w:rFonts w:ascii="Times New Roman" w:hAnsi="Times New Roman"/>
                <w:sz w:val="22"/>
                <w:szCs w:val="22"/>
                <w:highlight w:val="none"/>
              </w:rPr>
            </w:pPr>
            <w:r>
              <w:rPr>
                <w:rFonts w:ascii="Times New Roman" w:hAnsi="Times New Roman"/>
                <w:sz w:val="22"/>
                <w:szCs w:val="22"/>
                <w:highlight w:val="none"/>
              </w:rPr>
              <w:t>（1）投标文件按照招标文件规定的格式、内容填写，字迹清晰可辨：</w:t>
            </w:r>
          </w:p>
          <w:p>
            <w:pPr>
              <w:spacing w:line="288" w:lineRule="auto"/>
              <w:ind w:firstLine="440" w:firstLineChars="200"/>
              <w:rPr>
                <w:rFonts w:ascii="Times New Roman" w:hAnsi="Times New Roman"/>
                <w:sz w:val="22"/>
                <w:szCs w:val="22"/>
                <w:highlight w:val="none"/>
              </w:rPr>
            </w:pPr>
            <w:r>
              <w:rPr>
                <w:rFonts w:ascii="Times New Roman" w:hAnsi="Times New Roman"/>
                <w:sz w:val="22"/>
                <w:szCs w:val="22"/>
                <w:highlight w:val="none"/>
              </w:rPr>
              <w:t>a.投标函按招标文件规定填报了招标人名称、项目名称、标段号、补遗书编号（如有）、工期、工程质量</w:t>
            </w:r>
            <w:r>
              <w:rPr>
                <w:rFonts w:hint="eastAsia" w:ascii="Times New Roman" w:hAnsi="Times New Roman"/>
                <w:sz w:val="22"/>
                <w:szCs w:val="22"/>
                <w:highlight w:val="none"/>
              </w:rPr>
              <w:t>要求</w:t>
            </w:r>
            <w:r>
              <w:rPr>
                <w:rFonts w:ascii="Times New Roman" w:hAnsi="Times New Roman"/>
                <w:sz w:val="22"/>
                <w:szCs w:val="22"/>
                <w:highlight w:val="none"/>
              </w:rPr>
              <w:t>及安全目标；</w:t>
            </w:r>
          </w:p>
          <w:p>
            <w:pPr>
              <w:spacing w:line="288" w:lineRule="auto"/>
              <w:ind w:firstLine="440" w:firstLineChars="200"/>
              <w:rPr>
                <w:rFonts w:ascii="Times New Roman" w:hAnsi="Times New Roman"/>
                <w:sz w:val="22"/>
                <w:szCs w:val="22"/>
                <w:highlight w:val="none"/>
              </w:rPr>
            </w:pPr>
            <w:r>
              <w:rPr>
                <w:rFonts w:ascii="Times New Roman" w:hAnsi="Times New Roman"/>
                <w:sz w:val="22"/>
                <w:szCs w:val="22"/>
                <w:highlight w:val="none"/>
              </w:rPr>
              <w:t>b.投标函附录的所有数据均符合招标文件规定；</w:t>
            </w:r>
          </w:p>
          <w:p>
            <w:pPr>
              <w:spacing w:line="288" w:lineRule="auto"/>
              <w:ind w:firstLine="440" w:firstLineChars="200"/>
              <w:rPr>
                <w:rFonts w:ascii="Times New Roman" w:hAnsi="Times New Roman"/>
                <w:sz w:val="22"/>
                <w:szCs w:val="22"/>
                <w:highlight w:val="none"/>
              </w:rPr>
            </w:pPr>
            <w:r>
              <w:rPr>
                <w:rFonts w:ascii="Times New Roman" w:hAnsi="Times New Roman"/>
                <w:sz w:val="22"/>
                <w:szCs w:val="22"/>
                <w:highlight w:val="none"/>
              </w:rPr>
              <w:t>c.投标文件组成齐全完整，内容均按规定填写。</w:t>
            </w:r>
          </w:p>
          <w:p>
            <w:pPr>
              <w:spacing w:line="288" w:lineRule="auto"/>
              <w:rPr>
                <w:rFonts w:ascii="Times New Roman" w:hAnsi="Times New Roman"/>
                <w:sz w:val="22"/>
                <w:szCs w:val="22"/>
                <w:highlight w:val="none"/>
              </w:rPr>
            </w:pPr>
            <w:r>
              <w:rPr>
                <w:rFonts w:ascii="Times New Roman" w:hAnsi="Times New Roman"/>
                <w:sz w:val="22"/>
                <w:szCs w:val="22"/>
                <w:highlight w:val="none"/>
              </w:rPr>
              <w:t>（2）投标文件上法定代表人或其授权代理人的签字、投标人的单位章盖章齐全，符合招标文件规定。</w:t>
            </w:r>
          </w:p>
          <w:p>
            <w:pPr>
              <w:spacing w:line="288" w:lineRule="auto"/>
              <w:rPr>
                <w:rFonts w:ascii="Times New Roman" w:hAnsi="Times New Roman"/>
                <w:sz w:val="22"/>
                <w:szCs w:val="22"/>
                <w:highlight w:val="none"/>
              </w:rPr>
            </w:pPr>
            <w:r>
              <w:rPr>
                <w:rFonts w:ascii="Times New Roman" w:hAnsi="Times New Roman"/>
                <w:sz w:val="22"/>
                <w:szCs w:val="22"/>
                <w:highlight w:val="none"/>
              </w:rPr>
              <w:t>（3）投标人按照招标文件的规定提供了投标保证金：</w:t>
            </w:r>
          </w:p>
          <w:p>
            <w:pPr>
              <w:spacing w:line="288" w:lineRule="auto"/>
              <w:ind w:firstLine="440" w:firstLineChars="200"/>
              <w:rPr>
                <w:rFonts w:ascii="Times New Roman" w:hAnsi="Times New Roman"/>
                <w:sz w:val="22"/>
                <w:szCs w:val="22"/>
                <w:highlight w:val="none"/>
              </w:rPr>
            </w:pPr>
            <w:r>
              <w:rPr>
                <w:rFonts w:ascii="Times New Roman" w:hAnsi="Times New Roman"/>
                <w:sz w:val="22"/>
                <w:szCs w:val="22"/>
                <w:highlight w:val="none"/>
              </w:rPr>
              <w:t>a.投标保证金金额符合招标文件规定的金额，且投标保证金有效期不少于投标有效期；</w:t>
            </w:r>
          </w:p>
          <w:p>
            <w:pPr>
              <w:spacing w:line="288" w:lineRule="auto"/>
              <w:ind w:firstLine="440" w:firstLineChars="200"/>
              <w:rPr>
                <w:rFonts w:ascii="Times New Roman" w:hAnsi="Times New Roman"/>
                <w:sz w:val="22"/>
                <w:szCs w:val="22"/>
                <w:highlight w:val="none"/>
              </w:rPr>
            </w:pPr>
            <w:r>
              <w:rPr>
                <w:rFonts w:ascii="Times New Roman" w:hAnsi="Times New Roman"/>
                <w:sz w:val="22"/>
                <w:szCs w:val="22"/>
                <w:highlight w:val="none"/>
              </w:rPr>
              <w:t>b.若投标保证金采用现金或者支票形式提交，投标人应在递交投标文件截止时间之前，将投标保证金由投标人的基本账户转入并到达招标人指定账户；</w:t>
            </w:r>
          </w:p>
          <w:p>
            <w:pPr>
              <w:spacing w:line="288" w:lineRule="auto"/>
              <w:ind w:firstLine="440" w:firstLineChars="200"/>
              <w:rPr>
                <w:rFonts w:ascii="Times New Roman" w:hAnsi="Times New Roman"/>
                <w:sz w:val="22"/>
                <w:szCs w:val="22"/>
                <w:highlight w:val="none"/>
              </w:rPr>
            </w:pPr>
            <w:r>
              <w:rPr>
                <w:rFonts w:ascii="Times New Roman" w:hAnsi="Times New Roman"/>
                <w:sz w:val="22"/>
                <w:szCs w:val="22"/>
                <w:highlight w:val="none"/>
              </w:rPr>
              <w:t>c.若投标保证金采用银行保函形式提交，银行保函的格式、开具保函的银行均满足招标文件要求。</w:t>
            </w:r>
          </w:p>
          <w:p>
            <w:pPr>
              <w:spacing w:line="288" w:lineRule="auto"/>
              <w:rPr>
                <w:rFonts w:ascii="Times New Roman" w:hAnsi="Times New Roman"/>
                <w:sz w:val="22"/>
                <w:szCs w:val="22"/>
                <w:highlight w:val="none"/>
              </w:rPr>
            </w:pPr>
            <w:r>
              <w:rPr>
                <w:rFonts w:ascii="Times New Roman" w:hAnsi="Times New Roman"/>
                <w:sz w:val="22"/>
                <w:szCs w:val="22"/>
                <w:highlight w:val="none"/>
              </w:rPr>
              <w:t>（4）投标人法定代表人授权委托代理人签署投标文件的，需提交授权委托书，且授权人和被授权人均在授权委托书上签名。</w:t>
            </w:r>
          </w:p>
          <w:p>
            <w:pPr>
              <w:spacing w:line="288" w:lineRule="auto"/>
              <w:rPr>
                <w:rFonts w:ascii="Times New Roman" w:hAnsi="Times New Roman"/>
                <w:sz w:val="22"/>
                <w:szCs w:val="22"/>
                <w:highlight w:val="none"/>
              </w:rPr>
            </w:pPr>
            <w:r>
              <w:rPr>
                <w:rFonts w:ascii="Times New Roman" w:hAnsi="Times New Roman"/>
                <w:sz w:val="22"/>
                <w:szCs w:val="22"/>
                <w:highlight w:val="none"/>
              </w:rPr>
              <w:t>（5）投标人法定代表人亲自签署投标文件的，提供了法定代表人身份证明，且法定代表人在法定代表人身份证明上签名。</w:t>
            </w:r>
          </w:p>
          <w:p>
            <w:pPr>
              <w:spacing w:line="288" w:lineRule="auto"/>
              <w:rPr>
                <w:rFonts w:ascii="Times New Roman" w:hAnsi="Times New Roman"/>
                <w:sz w:val="22"/>
                <w:szCs w:val="22"/>
                <w:highlight w:val="none"/>
              </w:rPr>
            </w:pPr>
            <w:r>
              <w:rPr>
                <w:rFonts w:ascii="Times New Roman" w:hAnsi="Times New Roman"/>
                <w:sz w:val="22"/>
                <w:szCs w:val="22"/>
                <w:highlight w:val="none"/>
              </w:rPr>
              <w:t>（6）投标人以联合体形式投标时，联合体满足招标文件的要求：投标人按照招标文件提供的格式签订了联合体协议书，明确各方承担连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 w:type="dxa"/>
            <w:noWrap w:val="0"/>
            <w:vAlign w:val="center"/>
          </w:tcPr>
          <w:p>
            <w:pPr>
              <w:jc w:val="center"/>
              <w:rPr>
                <w:rFonts w:ascii="Times New Roman" w:hAnsi="Times New Roman"/>
                <w:sz w:val="22"/>
                <w:szCs w:val="22"/>
                <w:highlight w:val="none"/>
              </w:rPr>
            </w:pPr>
            <w:r>
              <w:rPr>
                <w:rFonts w:ascii="Times New Roman" w:hAnsi="Times New Roman"/>
                <w:sz w:val="22"/>
                <w:szCs w:val="22"/>
                <w:highlight w:val="none"/>
              </w:rPr>
              <w:t>2.1.1</w:t>
            </w:r>
          </w:p>
          <w:p>
            <w:pPr>
              <w:jc w:val="center"/>
              <w:rPr>
                <w:rFonts w:ascii="Times New Roman" w:hAnsi="Times New Roman"/>
                <w:sz w:val="22"/>
                <w:szCs w:val="22"/>
                <w:highlight w:val="none"/>
              </w:rPr>
            </w:pPr>
            <w:r>
              <w:rPr>
                <w:rFonts w:ascii="Times New Roman" w:hAnsi="Times New Roman"/>
                <w:sz w:val="22"/>
                <w:szCs w:val="22"/>
                <w:highlight w:val="none"/>
              </w:rPr>
              <w:t>2.1.3</w:t>
            </w:r>
          </w:p>
        </w:tc>
        <w:tc>
          <w:tcPr>
            <w:tcW w:w="1309" w:type="dxa"/>
            <w:noWrap w:val="0"/>
            <w:vAlign w:val="center"/>
          </w:tcPr>
          <w:p>
            <w:pPr>
              <w:jc w:val="center"/>
              <w:rPr>
                <w:rFonts w:ascii="Times New Roman" w:hAnsi="Times New Roman"/>
                <w:sz w:val="22"/>
                <w:szCs w:val="22"/>
                <w:highlight w:val="none"/>
              </w:rPr>
            </w:pPr>
            <w:r>
              <w:rPr>
                <w:rFonts w:ascii="Times New Roman" w:hAnsi="Times New Roman"/>
                <w:sz w:val="22"/>
                <w:szCs w:val="22"/>
                <w:highlight w:val="none"/>
              </w:rPr>
              <w:t>形式评审与响应性评审标准</w:t>
            </w:r>
          </w:p>
        </w:tc>
        <w:tc>
          <w:tcPr>
            <w:tcW w:w="6752" w:type="dxa"/>
            <w:noWrap w:val="0"/>
            <w:vAlign w:val="center"/>
          </w:tcPr>
          <w:p>
            <w:pPr>
              <w:spacing w:line="288" w:lineRule="auto"/>
              <w:rPr>
                <w:rFonts w:ascii="Times New Roman" w:hAnsi="Times New Roman"/>
                <w:sz w:val="22"/>
                <w:szCs w:val="22"/>
                <w:highlight w:val="none"/>
              </w:rPr>
            </w:pPr>
            <w:r>
              <w:rPr>
                <w:rFonts w:ascii="Times New Roman" w:hAnsi="Times New Roman"/>
                <w:sz w:val="22"/>
                <w:szCs w:val="22"/>
                <w:highlight w:val="none"/>
              </w:rPr>
              <w:t>带责任，并明确了联合体牵头人。</w:t>
            </w:r>
          </w:p>
          <w:p>
            <w:pPr>
              <w:spacing w:line="288" w:lineRule="auto"/>
              <w:rPr>
                <w:rFonts w:ascii="Times New Roman" w:hAnsi="Times New Roman"/>
                <w:sz w:val="22"/>
                <w:szCs w:val="22"/>
                <w:highlight w:val="none"/>
              </w:rPr>
            </w:pPr>
            <w:r>
              <w:rPr>
                <w:rFonts w:ascii="Times New Roman" w:hAnsi="Times New Roman"/>
                <w:sz w:val="22"/>
                <w:szCs w:val="22"/>
                <w:highlight w:val="none"/>
              </w:rPr>
              <w:t>（7）投标人如有分包计划，符合招标文件第二章</w:t>
            </w:r>
            <w:r>
              <w:rPr>
                <w:rFonts w:hint="eastAsia" w:ascii="Times New Roman" w:hAnsi="Times New Roman"/>
                <w:sz w:val="22"/>
                <w:szCs w:val="22"/>
                <w:highlight w:val="none"/>
              </w:rPr>
              <w:t>“</w:t>
            </w:r>
            <w:r>
              <w:rPr>
                <w:rFonts w:ascii="Times New Roman" w:hAnsi="Times New Roman"/>
                <w:sz w:val="22"/>
                <w:szCs w:val="22"/>
                <w:highlight w:val="none"/>
              </w:rPr>
              <w:t>投标人须知</w:t>
            </w:r>
            <w:r>
              <w:rPr>
                <w:rFonts w:hint="eastAsia" w:ascii="Times New Roman" w:hAnsi="Times New Roman"/>
                <w:sz w:val="22"/>
                <w:szCs w:val="22"/>
                <w:highlight w:val="none"/>
              </w:rPr>
              <w:t>”</w:t>
            </w:r>
            <w:r>
              <w:rPr>
                <w:rFonts w:ascii="Times New Roman" w:hAnsi="Times New Roman"/>
                <w:sz w:val="22"/>
                <w:szCs w:val="22"/>
                <w:highlight w:val="none"/>
              </w:rPr>
              <w:t>第1.11款规定，且按招标文件第九章</w:t>
            </w:r>
            <w:r>
              <w:rPr>
                <w:rFonts w:hint="eastAsia" w:ascii="Times New Roman" w:hAnsi="Times New Roman"/>
                <w:sz w:val="22"/>
                <w:szCs w:val="22"/>
                <w:highlight w:val="none"/>
              </w:rPr>
              <w:t>“</w:t>
            </w:r>
            <w:r>
              <w:rPr>
                <w:rFonts w:ascii="Times New Roman" w:hAnsi="Times New Roman"/>
                <w:sz w:val="22"/>
                <w:szCs w:val="22"/>
                <w:highlight w:val="none"/>
              </w:rPr>
              <w:t>投标文件格式</w:t>
            </w:r>
            <w:r>
              <w:rPr>
                <w:rFonts w:hint="eastAsia" w:ascii="Times New Roman" w:hAnsi="Times New Roman"/>
                <w:sz w:val="22"/>
                <w:szCs w:val="22"/>
                <w:highlight w:val="none"/>
              </w:rPr>
              <w:t>”</w:t>
            </w:r>
            <w:r>
              <w:rPr>
                <w:rFonts w:ascii="Times New Roman" w:hAnsi="Times New Roman"/>
                <w:sz w:val="22"/>
                <w:szCs w:val="22"/>
                <w:highlight w:val="none"/>
              </w:rPr>
              <w:t>的要求填写了</w:t>
            </w:r>
            <w:r>
              <w:rPr>
                <w:rFonts w:hint="eastAsia" w:ascii="Times New Roman" w:hAnsi="Times New Roman"/>
                <w:sz w:val="22"/>
                <w:szCs w:val="22"/>
                <w:highlight w:val="none"/>
              </w:rPr>
              <w:t>“</w:t>
            </w:r>
            <w:r>
              <w:rPr>
                <w:rFonts w:ascii="Times New Roman" w:hAnsi="Times New Roman"/>
                <w:sz w:val="22"/>
                <w:szCs w:val="22"/>
                <w:highlight w:val="none"/>
              </w:rPr>
              <w:t>拟分包项目情况表</w:t>
            </w:r>
            <w:r>
              <w:rPr>
                <w:rFonts w:hint="eastAsia" w:ascii="Times New Roman" w:hAnsi="Times New Roman"/>
                <w:sz w:val="22"/>
                <w:szCs w:val="22"/>
                <w:highlight w:val="none"/>
              </w:rPr>
              <w:t>”</w:t>
            </w:r>
            <w:r>
              <w:rPr>
                <w:rFonts w:ascii="Times New Roman" w:hAnsi="Times New Roman"/>
                <w:sz w:val="22"/>
                <w:szCs w:val="22"/>
                <w:highlight w:val="none"/>
              </w:rPr>
              <w:t>。</w:t>
            </w:r>
          </w:p>
          <w:p>
            <w:pPr>
              <w:spacing w:line="288" w:lineRule="auto"/>
              <w:rPr>
                <w:rFonts w:ascii="Times New Roman" w:hAnsi="Times New Roman"/>
                <w:sz w:val="22"/>
                <w:szCs w:val="22"/>
                <w:highlight w:val="none"/>
              </w:rPr>
            </w:pPr>
            <w:r>
              <w:rPr>
                <w:rFonts w:ascii="Times New Roman" w:hAnsi="Times New Roman"/>
                <w:sz w:val="22"/>
                <w:szCs w:val="22"/>
                <w:highlight w:val="none"/>
              </w:rPr>
              <w:t>（8）同一投标人未提交两个以上不同的投标文件。</w:t>
            </w:r>
          </w:p>
          <w:p>
            <w:pPr>
              <w:spacing w:line="288" w:lineRule="auto"/>
              <w:rPr>
                <w:rFonts w:ascii="Times New Roman" w:hAnsi="Times New Roman"/>
                <w:sz w:val="22"/>
                <w:szCs w:val="22"/>
                <w:highlight w:val="none"/>
              </w:rPr>
            </w:pPr>
            <w:r>
              <w:rPr>
                <w:rFonts w:ascii="Times New Roman" w:hAnsi="Times New Roman"/>
                <w:sz w:val="22"/>
                <w:szCs w:val="22"/>
                <w:highlight w:val="none"/>
              </w:rPr>
              <w:t>（9）投标文件</w:t>
            </w:r>
            <w:r>
              <w:rPr>
                <w:rFonts w:hint="eastAsia"/>
                <w:b/>
                <w:bCs/>
                <w:sz w:val="22"/>
                <w:szCs w:val="22"/>
                <w:highlight w:val="none"/>
              </w:rPr>
              <w:t>（包括电子版文件）</w:t>
            </w:r>
            <w:r>
              <w:rPr>
                <w:rFonts w:ascii="Times New Roman" w:hAnsi="Times New Roman"/>
                <w:sz w:val="22"/>
                <w:szCs w:val="22"/>
                <w:highlight w:val="none"/>
              </w:rPr>
              <w:t>中未出现有关投标报价的内容。</w:t>
            </w:r>
          </w:p>
          <w:p>
            <w:pPr>
              <w:spacing w:line="288" w:lineRule="auto"/>
              <w:rPr>
                <w:rFonts w:ascii="Times New Roman" w:hAnsi="Times New Roman"/>
                <w:sz w:val="22"/>
                <w:szCs w:val="22"/>
                <w:highlight w:val="none"/>
              </w:rPr>
            </w:pPr>
            <w:r>
              <w:rPr>
                <w:rFonts w:ascii="Times New Roman" w:hAnsi="Times New Roman"/>
                <w:sz w:val="22"/>
                <w:szCs w:val="22"/>
                <w:highlight w:val="none"/>
              </w:rPr>
              <w:t>（10）投标文件载明的招标项目完成期限未超过招标文件规定的时限。</w:t>
            </w:r>
          </w:p>
          <w:p>
            <w:pPr>
              <w:spacing w:line="288" w:lineRule="auto"/>
              <w:rPr>
                <w:rFonts w:ascii="Times New Roman" w:hAnsi="Times New Roman"/>
                <w:sz w:val="22"/>
                <w:szCs w:val="22"/>
                <w:highlight w:val="none"/>
              </w:rPr>
            </w:pPr>
            <w:r>
              <w:rPr>
                <w:rFonts w:ascii="Times New Roman" w:hAnsi="Times New Roman"/>
                <w:sz w:val="22"/>
                <w:szCs w:val="22"/>
                <w:highlight w:val="none"/>
              </w:rPr>
              <w:t>（11）投标文件对招标文件的实质性要求和条件作出响应。</w:t>
            </w:r>
          </w:p>
          <w:p>
            <w:pPr>
              <w:spacing w:line="288" w:lineRule="auto"/>
              <w:rPr>
                <w:rFonts w:ascii="Times New Roman" w:hAnsi="Times New Roman"/>
                <w:sz w:val="22"/>
                <w:szCs w:val="22"/>
                <w:highlight w:val="none"/>
              </w:rPr>
            </w:pPr>
            <w:r>
              <w:rPr>
                <w:rFonts w:ascii="Times New Roman" w:hAnsi="Times New Roman"/>
                <w:sz w:val="22"/>
                <w:szCs w:val="22"/>
                <w:highlight w:val="none"/>
              </w:rPr>
              <w:t>（12）权利义务符合招标文件规定：</w:t>
            </w:r>
          </w:p>
          <w:p>
            <w:pPr>
              <w:spacing w:line="288" w:lineRule="auto"/>
              <w:rPr>
                <w:rFonts w:ascii="Times New Roman" w:hAnsi="Times New Roman"/>
                <w:sz w:val="22"/>
                <w:szCs w:val="22"/>
                <w:highlight w:val="none"/>
              </w:rPr>
            </w:pPr>
            <w:r>
              <w:rPr>
                <w:rFonts w:ascii="Times New Roman" w:hAnsi="Times New Roman"/>
                <w:sz w:val="22"/>
                <w:szCs w:val="22"/>
                <w:highlight w:val="none"/>
              </w:rPr>
              <w:t>a.投标人接受招标文件规定的风险划分原则，未提出新的风险划分办法；</w:t>
            </w:r>
          </w:p>
          <w:p>
            <w:pPr>
              <w:spacing w:line="288" w:lineRule="auto"/>
              <w:rPr>
                <w:rFonts w:ascii="Times New Roman" w:hAnsi="Times New Roman"/>
                <w:sz w:val="22"/>
                <w:szCs w:val="22"/>
                <w:highlight w:val="none"/>
              </w:rPr>
            </w:pPr>
            <w:r>
              <w:rPr>
                <w:rFonts w:ascii="Times New Roman" w:hAnsi="Times New Roman"/>
                <w:sz w:val="22"/>
                <w:szCs w:val="22"/>
                <w:highlight w:val="none"/>
              </w:rPr>
              <w:t>b.投标人未增加发包人的责任范围，或减少投标人义务；</w:t>
            </w:r>
          </w:p>
          <w:p>
            <w:pPr>
              <w:spacing w:line="288" w:lineRule="auto"/>
              <w:rPr>
                <w:rFonts w:ascii="Times New Roman" w:hAnsi="Times New Roman"/>
                <w:sz w:val="22"/>
                <w:szCs w:val="22"/>
                <w:highlight w:val="none"/>
              </w:rPr>
            </w:pPr>
            <w:r>
              <w:rPr>
                <w:rFonts w:ascii="Times New Roman" w:hAnsi="Times New Roman"/>
                <w:sz w:val="22"/>
                <w:szCs w:val="22"/>
                <w:highlight w:val="none"/>
              </w:rPr>
              <w:t>c.投标人未提出不同的工程验收、计量、支付办法；</w:t>
            </w:r>
          </w:p>
          <w:p>
            <w:pPr>
              <w:spacing w:line="288" w:lineRule="auto"/>
              <w:rPr>
                <w:rFonts w:ascii="Times New Roman" w:hAnsi="Times New Roman"/>
                <w:sz w:val="22"/>
                <w:szCs w:val="22"/>
                <w:highlight w:val="none"/>
              </w:rPr>
            </w:pPr>
            <w:r>
              <w:rPr>
                <w:rFonts w:ascii="Times New Roman" w:hAnsi="Times New Roman"/>
                <w:sz w:val="22"/>
                <w:szCs w:val="22"/>
                <w:highlight w:val="none"/>
              </w:rPr>
              <w:t>d.投标人对合同纠纷、事故处理办法未提出异议；</w:t>
            </w:r>
          </w:p>
          <w:p>
            <w:pPr>
              <w:spacing w:line="288" w:lineRule="auto"/>
              <w:rPr>
                <w:rFonts w:ascii="Times New Roman" w:hAnsi="Times New Roman"/>
                <w:sz w:val="22"/>
                <w:szCs w:val="22"/>
                <w:highlight w:val="none"/>
              </w:rPr>
            </w:pPr>
            <w:r>
              <w:rPr>
                <w:rFonts w:ascii="Times New Roman" w:hAnsi="Times New Roman"/>
                <w:sz w:val="22"/>
                <w:szCs w:val="22"/>
                <w:highlight w:val="none"/>
              </w:rPr>
              <w:t>e.投标人在投标活动中无欺诈行为；</w:t>
            </w:r>
          </w:p>
          <w:p>
            <w:pPr>
              <w:spacing w:line="288" w:lineRule="auto"/>
              <w:rPr>
                <w:rFonts w:ascii="Times New Roman" w:hAnsi="Times New Roman"/>
                <w:sz w:val="22"/>
                <w:szCs w:val="22"/>
                <w:highlight w:val="none"/>
              </w:rPr>
            </w:pPr>
            <w:r>
              <w:rPr>
                <w:rFonts w:ascii="Times New Roman" w:hAnsi="Times New Roman"/>
                <w:sz w:val="22"/>
                <w:szCs w:val="22"/>
                <w:highlight w:val="none"/>
              </w:rPr>
              <w:t>f.投标人未对合同条款有重要保留。</w:t>
            </w:r>
          </w:p>
          <w:p>
            <w:pPr>
              <w:spacing w:line="288" w:lineRule="auto"/>
              <w:rPr>
                <w:rFonts w:ascii="Times New Roman" w:hAnsi="Times New Roman"/>
                <w:b/>
                <w:bCs/>
                <w:sz w:val="22"/>
                <w:szCs w:val="22"/>
                <w:highlight w:val="none"/>
              </w:rPr>
            </w:pPr>
            <w:r>
              <w:rPr>
                <w:rFonts w:ascii="Times New Roman" w:hAnsi="Times New Roman"/>
                <w:sz w:val="22"/>
                <w:szCs w:val="22"/>
                <w:highlight w:val="none"/>
              </w:rPr>
              <w:t>（13）</w:t>
            </w:r>
            <w:r>
              <w:rPr>
                <w:rFonts w:ascii="Times New Roman" w:hAnsi="Times New Roman"/>
                <w:b/>
                <w:bCs/>
                <w:sz w:val="22"/>
                <w:szCs w:val="22"/>
                <w:highlight w:val="none"/>
              </w:rPr>
              <w:t>投标人网上</w:t>
            </w:r>
            <w:r>
              <w:rPr>
                <w:rFonts w:hint="eastAsia" w:ascii="Times New Roman" w:hAnsi="Times New Roman"/>
                <w:b/>
                <w:bCs/>
                <w:sz w:val="22"/>
                <w:szCs w:val="22"/>
                <w:highlight w:val="none"/>
              </w:rPr>
              <w:t>购买招标文件</w:t>
            </w:r>
            <w:r>
              <w:rPr>
                <w:rFonts w:ascii="Times New Roman" w:hAnsi="Times New Roman"/>
                <w:b/>
                <w:bCs/>
                <w:sz w:val="22"/>
                <w:szCs w:val="22"/>
                <w:highlight w:val="none"/>
              </w:rPr>
              <w:t>的标段、投标保证金提交的标段和投标文件所投标段一致。</w:t>
            </w:r>
          </w:p>
          <w:p>
            <w:pPr>
              <w:spacing w:line="288" w:lineRule="auto"/>
              <w:rPr>
                <w:rFonts w:ascii="Times New Roman" w:hAnsi="Times New Roman"/>
                <w:sz w:val="22"/>
                <w:szCs w:val="22"/>
                <w:highlight w:val="none"/>
              </w:rPr>
            </w:pPr>
            <w:r>
              <w:rPr>
                <w:rFonts w:hint="eastAsia" w:ascii="Times New Roman" w:hAnsi="Times New Roman"/>
                <w:sz w:val="22"/>
                <w:szCs w:val="22"/>
                <w:highlight w:val="none"/>
              </w:rPr>
              <w:t>（1</w:t>
            </w:r>
            <w:r>
              <w:rPr>
                <w:rFonts w:hint="eastAsia" w:ascii="Times New Roman" w:hAnsi="Times New Roman"/>
                <w:sz w:val="22"/>
                <w:szCs w:val="22"/>
                <w:highlight w:val="none"/>
                <w:lang w:val="en-US" w:eastAsia="zh-CN"/>
              </w:rPr>
              <w:t>4</w:t>
            </w:r>
            <w:r>
              <w:rPr>
                <w:rFonts w:hint="eastAsia" w:ascii="Times New Roman" w:hAnsi="Times New Roman"/>
                <w:sz w:val="22"/>
                <w:szCs w:val="22"/>
                <w:highlight w:val="none"/>
              </w:rPr>
              <w:t>）投标文件未附有招标人不能接受的条件。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 w:type="dxa"/>
            <w:noWrap w:val="0"/>
            <w:vAlign w:val="center"/>
          </w:tcPr>
          <w:p>
            <w:pPr>
              <w:jc w:val="center"/>
              <w:rPr>
                <w:rFonts w:ascii="Times New Roman" w:hAnsi="Times New Roman"/>
                <w:sz w:val="22"/>
                <w:szCs w:val="22"/>
                <w:highlight w:val="none"/>
              </w:rPr>
            </w:pPr>
            <w:r>
              <w:rPr>
                <w:rFonts w:ascii="Times New Roman" w:hAnsi="Times New Roman"/>
                <w:sz w:val="22"/>
                <w:szCs w:val="22"/>
                <w:highlight w:val="none"/>
              </w:rPr>
              <w:t>2.1.1</w:t>
            </w:r>
          </w:p>
          <w:p>
            <w:pPr>
              <w:jc w:val="center"/>
              <w:rPr>
                <w:rFonts w:ascii="Times New Roman" w:hAnsi="Times New Roman"/>
                <w:sz w:val="22"/>
                <w:szCs w:val="22"/>
                <w:highlight w:val="none"/>
              </w:rPr>
            </w:pPr>
            <w:r>
              <w:rPr>
                <w:rFonts w:ascii="Times New Roman" w:hAnsi="Times New Roman"/>
                <w:sz w:val="22"/>
                <w:szCs w:val="22"/>
                <w:highlight w:val="none"/>
              </w:rPr>
              <w:t>2.1.3</w:t>
            </w:r>
          </w:p>
        </w:tc>
        <w:tc>
          <w:tcPr>
            <w:tcW w:w="1309" w:type="dxa"/>
            <w:noWrap w:val="0"/>
            <w:vAlign w:val="center"/>
          </w:tcPr>
          <w:p>
            <w:pPr>
              <w:jc w:val="center"/>
              <w:rPr>
                <w:rFonts w:ascii="Times New Roman" w:hAnsi="Times New Roman"/>
                <w:sz w:val="22"/>
                <w:szCs w:val="22"/>
                <w:highlight w:val="none"/>
              </w:rPr>
            </w:pPr>
            <w:r>
              <w:rPr>
                <w:rFonts w:ascii="Times New Roman" w:hAnsi="Times New Roman"/>
                <w:sz w:val="22"/>
                <w:szCs w:val="22"/>
                <w:highlight w:val="none"/>
              </w:rPr>
              <w:t>形式评审与响应性评审标准</w:t>
            </w:r>
          </w:p>
        </w:tc>
        <w:tc>
          <w:tcPr>
            <w:tcW w:w="6752" w:type="dxa"/>
            <w:noWrap w:val="0"/>
            <w:vAlign w:val="center"/>
          </w:tcPr>
          <w:p>
            <w:pPr>
              <w:spacing w:line="288" w:lineRule="auto"/>
              <w:rPr>
                <w:rFonts w:ascii="Times New Roman" w:hAnsi="Times New Roman"/>
                <w:b/>
                <w:bCs/>
                <w:sz w:val="22"/>
                <w:szCs w:val="22"/>
                <w:highlight w:val="none"/>
              </w:rPr>
            </w:pPr>
            <w:r>
              <w:rPr>
                <w:rFonts w:ascii="Times New Roman" w:hAnsi="Times New Roman"/>
                <w:b/>
                <w:bCs/>
                <w:sz w:val="22"/>
                <w:szCs w:val="22"/>
                <w:highlight w:val="none"/>
              </w:rPr>
              <w:t>报价文</w:t>
            </w:r>
            <w:r>
              <w:rPr>
                <w:rFonts w:hint="eastAsia" w:ascii="Times New Roman" w:hAnsi="Times New Roman"/>
                <w:b/>
                <w:bCs/>
                <w:sz w:val="22"/>
                <w:szCs w:val="22"/>
                <w:highlight w:val="none"/>
              </w:rPr>
              <w:t>件</w:t>
            </w:r>
            <w:r>
              <w:rPr>
                <w:rFonts w:ascii="Times New Roman" w:hAnsi="Times New Roman"/>
                <w:b/>
                <w:bCs/>
                <w:sz w:val="22"/>
                <w:szCs w:val="22"/>
                <w:highlight w:val="none"/>
              </w:rPr>
              <w:t>评审标准</w:t>
            </w:r>
            <w:r>
              <w:rPr>
                <w:rFonts w:hint="eastAsia" w:ascii="Times New Roman" w:hAnsi="Times New Roman"/>
                <w:b/>
                <w:bCs/>
                <w:sz w:val="22"/>
                <w:szCs w:val="22"/>
                <w:highlight w:val="none"/>
              </w:rPr>
              <w:t>：</w:t>
            </w:r>
          </w:p>
          <w:p>
            <w:pPr>
              <w:spacing w:line="288" w:lineRule="auto"/>
              <w:rPr>
                <w:rFonts w:ascii="Times New Roman" w:hAnsi="Times New Roman"/>
                <w:sz w:val="22"/>
                <w:szCs w:val="22"/>
                <w:highlight w:val="none"/>
              </w:rPr>
            </w:pPr>
            <w:r>
              <w:rPr>
                <w:rFonts w:ascii="Times New Roman" w:hAnsi="Times New Roman"/>
                <w:sz w:val="22"/>
                <w:szCs w:val="22"/>
                <w:highlight w:val="none"/>
              </w:rPr>
              <w:t>（1）报价文件按照招标文件规定的格式、内容填写，字迹清晰可辨：</w:t>
            </w:r>
          </w:p>
          <w:p>
            <w:pPr>
              <w:spacing w:line="288" w:lineRule="auto"/>
              <w:ind w:firstLine="440" w:firstLineChars="200"/>
              <w:rPr>
                <w:rFonts w:ascii="Times New Roman" w:hAnsi="Times New Roman"/>
                <w:sz w:val="22"/>
                <w:szCs w:val="22"/>
                <w:highlight w:val="none"/>
              </w:rPr>
            </w:pPr>
            <w:r>
              <w:rPr>
                <w:rFonts w:ascii="Times New Roman" w:hAnsi="Times New Roman"/>
                <w:sz w:val="22"/>
                <w:szCs w:val="22"/>
                <w:highlight w:val="none"/>
              </w:rPr>
              <w:t>a.投标函按招标文件规定填报了招标人名称、项目名称、标段号、补遗书编号（如有）、投标价（包括大写金额和小写金额）；</w:t>
            </w:r>
          </w:p>
          <w:p>
            <w:pPr>
              <w:spacing w:line="288" w:lineRule="auto"/>
              <w:ind w:firstLine="440" w:firstLineChars="200"/>
              <w:rPr>
                <w:rFonts w:ascii="Times New Roman" w:hAnsi="Times New Roman"/>
                <w:sz w:val="22"/>
                <w:szCs w:val="22"/>
                <w:highlight w:val="none"/>
              </w:rPr>
            </w:pPr>
            <w:r>
              <w:rPr>
                <w:rFonts w:ascii="Times New Roman" w:hAnsi="Times New Roman"/>
                <w:sz w:val="22"/>
                <w:szCs w:val="22"/>
                <w:highlight w:val="none"/>
              </w:rPr>
              <w:t>b.已标价工程量清单及说明文字与招标文件规定一致，未进行实质性修改和删减；</w:t>
            </w:r>
          </w:p>
          <w:p>
            <w:pPr>
              <w:spacing w:line="288" w:lineRule="auto"/>
              <w:ind w:firstLine="440" w:firstLineChars="200"/>
              <w:rPr>
                <w:rFonts w:ascii="Times New Roman" w:hAnsi="Times New Roman"/>
                <w:sz w:val="22"/>
                <w:szCs w:val="22"/>
                <w:highlight w:val="none"/>
              </w:rPr>
            </w:pPr>
            <w:r>
              <w:rPr>
                <w:rFonts w:ascii="Times New Roman" w:hAnsi="Times New Roman"/>
                <w:sz w:val="22"/>
                <w:szCs w:val="22"/>
                <w:highlight w:val="none"/>
              </w:rPr>
              <w:t>c.工程量清单中的投标报价与投标函大写金额报价一致；</w:t>
            </w:r>
          </w:p>
          <w:p>
            <w:pPr>
              <w:spacing w:line="288" w:lineRule="auto"/>
              <w:ind w:firstLine="440" w:firstLineChars="200"/>
              <w:rPr>
                <w:rFonts w:ascii="Times New Roman" w:hAnsi="Times New Roman"/>
                <w:sz w:val="22"/>
                <w:szCs w:val="22"/>
                <w:highlight w:val="none"/>
              </w:rPr>
            </w:pPr>
            <w:r>
              <w:rPr>
                <w:rFonts w:ascii="Times New Roman" w:hAnsi="Times New Roman"/>
                <w:sz w:val="22"/>
                <w:szCs w:val="22"/>
                <w:highlight w:val="none"/>
              </w:rPr>
              <w:t>d.投标文件组成齐全完整，内容均按规定填写。</w:t>
            </w:r>
          </w:p>
          <w:p>
            <w:pPr>
              <w:spacing w:line="288" w:lineRule="auto"/>
              <w:rPr>
                <w:rFonts w:ascii="Times New Roman" w:hAnsi="Times New Roman"/>
                <w:sz w:val="22"/>
                <w:szCs w:val="22"/>
                <w:highlight w:val="none"/>
              </w:rPr>
            </w:pPr>
            <w:r>
              <w:rPr>
                <w:rFonts w:ascii="Times New Roman" w:hAnsi="Times New Roman"/>
                <w:sz w:val="22"/>
                <w:szCs w:val="22"/>
                <w:highlight w:val="none"/>
              </w:rPr>
              <w:t>（2）报价文件上法定代表人或其授权代理人的签字、投标人的单位章盖章齐全，符合招标文件规定。</w:t>
            </w:r>
          </w:p>
          <w:p>
            <w:pPr>
              <w:spacing w:line="288" w:lineRule="auto"/>
              <w:rPr>
                <w:rFonts w:ascii="Times New Roman" w:hAnsi="Times New Roman"/>
                <w:sz w:val="22"/>
                <w:szCs w:val="22"/>
                <w:highlight w:val="none"/>
              </w:rPr>
            </w:pPr>
            <w:r>
              <w:rPr>
                <w:rFonts w:ascii="Times New Roman" w:hAnsi="Times New Roman"/>
                <w:sz w:val="22"/>
                <w:szCs w:val="22"/>
                <w:highlight w:val="none"/>
              </w:rPr>
              <w:t>（3）投标报价未超过招标文件设定的最高投标限价（如有）。</w:t>
            </w:r>
          </w:p>
          <w:p>
            <w:pPr>
              <w:spacing w:line="288" w:lineRule="auto"/>
              <w:rPr>
                <w:rFonts w:ascii="Times New Roman" w:hAnsi="Times New Roman"/>
                <w:sz w:val="22"/>
                <w:szCs w:val="22"/>
                <w:highlight w:val="none"/>
              </w:rPr>
            </w:pPr>
            <w:r>
              <w:rPr>
                <w:rFonts w:ascii="Times New Roman" w:hAnsi="Times New Roman"/>
                <w:sz w:val="22"/>
                <w:szCs w:val="22"/>
                <w:highlight w:val="none"/>
              </w:rPr>
              <w:t>（4）投标报价的大写金额能够确定具体数值。</w:t>
            </w:r>
          </w:p>
          <w:p>
            <w:pPr>
              <w:spacing w:line="288" w:lineRule="auto"/>
              <w:rPr>
                <w:rFonts w:ascii="Times New Roman" w:hAnsi="Times New Roman"/>
                <w:sz w:val="22"/>
                <w:szCs w:val="22"/>
                <w:highlight w:val="none"/>
              </w:rPr>
            </w:pPr>
            <w:r>
              <w:rPr>
                <w:rFonts w:ascii="Times New Roman" w:hAnsi="Times New Roman"/>
                <w:sz w:val="22"/>
                <w:szCs w:val="22"/>
                <w:highlight w:val="none"/>
              </w:rPr>
              <w:t>（5）同一投标人未提交两个以上不同的投标报价。</w:t>
            </w:r>
          </w:p>
          <w:p>
            <w:pPr>
              <w:spacing w:line="288" w:lineRule="auto"/>
              <w:rPr>
                <w:rFonts w:ascii="Times New Roman" w:hAnsi="Times New Roman"/>
                <w:sz w:val="22"/>
                <w:szCs w:val="22"/>
                <w:highlight w:val="none"/>
              </w:rPr>
            </w:pPr>
            <w:r>
              <w:rPr>
                <w:rFonts w:ascii="Times New Roman" w:hAnsi="Times New Roman"/>
                <w:sz w:val="22"/>
                <w:szCs w:val="22"/>
                <w:highlight w:val="none"/>
              </w:rPr>
              <w:t>（6）投标人未提交调价函。</w:t>
            </w:r>
          </w:p>
          <w:p>
            <w:pPr>
              <w:spacing w:line="288" w:lineRule="auto"/>
              <w:rPr>
                <w:rFonts w:ascii="Times New Roman" w:hAnsi="Times New Roman"/>
                <w:sz w:val="22"/>
                <w:szCs w:val="22"/>
                <w:highlight w:val="none"/>
              </w:rPr>
            </w:pPr>
            <w:r>
              <w:rPr>
                <w:rFonts w:ascii="Times New Roman" w:hAnsi="Times New Roman"/>
                <w:sz w:val="22"/>
                <w:szCs w:val="22"/>
                <w:highlight w:val="none"/>
              </w:rPr>
              <w:t>（7）投标人若填写工程量固化清单，填写完毕的工程量固化清单未对工程量固化清单电子文件中的数据、格式和运算定义进行修改。</w:t>
            </w:r>
          </w:p>
          <w:p>
            <w:pPr>
              <w:spacing w:line="288" w:lineRule="auto"/>
              <w:rPr>
                <w:rFonts w:ascii="Times New Roman" w:hAnsi="Times New Roman"/>
                <w:sz w:val="22"/>
                <w:szCs w:val="22"/>
                <w:highlight w:val="none"/>
              </w:rPr>
            </w:pPr>
            <w:r>
              <w:rPr>
                <w:rFonts w:ascii="Times New Roman" w:hAnsi="Times New Roman"/>
                <w:sz w:val="22"/>
                <w:szCs w:val="22"/>
                <w:highlight w:val="none"/>
              </w:rPr>
              <w:t>（8）未附有招标人不能接受的条件。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 w:type="dxa"/>
            <w:noWrap w:val="0"/>
            <w:vAlign w:val="center"/>
          </w:tcPr>
          <w:p>
            <w:pPr>
              <w:jc w:val="center"/>
              <w:rPr>
                <w:rFonts w:ascii="Times New Roman" w:hAnsi="Times New Roman"/>
                <w:sz w:val="22"/>
                <w:szCs w:val="22"/>
                <w:highlight w:val="none"/>
              </w:rPr>
            </w:pPr>
            <w:r>
              <w:rPr>
                <w:rFonts w:ascii="Times New Roman" w:hAnsi="Times New Roman"/>
                <w:sz w:val="22"/>
                <w:szCs w:val="22"/>
                <w:highlight w:val="none"/>
              </w:rPr>
              <w:t>2.1.2</w:t>
            </w:r>
          </w:p>
        </w:tc>
        <w:tc>
          <w:tcPr>
            <w:tcW w:w="1309" w:type="dxa"/>
            <w:noWrap w:val="0"/>
            <w:vAlign w:val="center"/>
          </w:tcPr>
          <w:p>
            <w:pPr>
              <w:jc w:val="center"/>
              <w:rPr>
                <w:rFonts w:ascii="Times New Roman" w:hAnsi="Times New Roman"/>
                <w:sz w:val="22"/>
                <w:szCs w:val="22"/>
                <w:highlight w:val="none"/>
              </w:rPr>
            </w:pPr>
            <w:r>
              <w:rPr>
                <w:rFonts w:ascii="Times New Roman" w:hAnsi="Times New Roman"/>
                <w:sz w:val="22"/>
                <w:szCs w:val="22"/>
                <w:highlight w:val="none"/>
              </w:rPr>
              <w:t>资格评审标准</w:t>
            </w:r>
          </w:p>
        </w:tc>
        <w:tc>
          <w:tcPr>
            <w:tcW w:w="6752" w:type="dxa"/>
            <w:noWrap w:val="0"/>
            <w:vAlign w:val="center"/>
          </w:tcPr>
          <w:p>
            <w:pPr>
              <w:spacing w:line="288" w:lineRule="auto"/>
              <w:rPr>
                <w:rFonts w:ascii="Times New Roman" w:hAnsi="Times New Roman"/>
                <w:sz w:val="22"/>
                <w:szCs w:val="22"/>
                <w:highlight w:val="none"/>
              </w:rPr>
            </w:pPr>
            <w:r>
              <w:rPr>
                <w:rFonts w:ascii="Times New Roman" w:hAnsi="Times New Roman"/>
                <w:sz w:val="22"/>
                <w:szCs w:val="22"/>
                <w:highlight w:val="none"/>
              </w:rPr>
              <w:t>（1）投标人具备有效的营业执照、资质证书、安全生产许可证和基本账户开户许可证；</w:t>
            </w:r>
          </w:p>
          <w:p>
            <w:pPr>
              <w:spacing w:line="288" w:lineRule="auto"/>
              <w:rPr>
                <w:rFonts w:ascii="Times New Roman" w:hAnsi="Times New Roman"/>
                <w:sz w:val="22"/>
                <w:szCs w:val="22"/>
                <w:highlight w:val="none"/>
              </w:rPr>
            </w:pPr>
            <w:r>
              <w:rPr>
                <w:rFonts w:ascii="Times New Roman" w:hAnsi="Times New Roman"/>
                <w:sz w:val="22"/>
                <w:szCs w:val="22"/>
                <w:highlight w:val="none"/>
              </w:rPr>
              <w:t>（2）投标人的资质等级符合招标文件规定；</w:t>
            </w:r>
          </w:p>
          <w:p>
            <w:pPr>
              <w:spacing w:line="288" w:lineRule="auto"/>
              <w:rPr>
                <w:rFonts w:ascii="Times New Roman" w:hAnsi="Times New Roman"/>
                <w:sz w:val="22"/>
                <w:szCs w:val="22"/>
                <w:highlight w:val="none"/>
              </w:rPr>
            </w:pPr>
            <w:r>
              <w:rPr>
                <w:rFonts w:ascii="Times New Roman" w:hAnsi="Times New Roman"/>
                <w:sz w:val="22"/>
                <w:szCs w:val="22"/>
                <w:highlight w:val="none"/>
              </w:rPr>
              <w:t>（3）投标人的类似项目业绩符合招标文件规定；</w:t>
            </w:r>
          </w:p>
          <w:p>
            <w:pPr>
              <w:spacing w:line="288" w:lineRule="auto"/>
              <w:rPr>
                <w:rFonts w:ascii="Times New Roman" w:hAnsi="Times New Roman"/>
                <w:sz w:val="22"/>
                <w:szCs w:val="22"/>
                <w:highlight w:val="none"/>
              </w:rPr>
            </w:pPr>
            <w:r>
              <w:rPr>
                <w:rFonts w:ascii="Times New Roman" w:hAnsi="Times New Roman"/>
                <w:sz w:val="22"/>
                <w:szCs w:val="22"/>
                <w:highlight w:val="none"/>
              </w:rPr>
              <w:t>（</w:t>
            </w:r>
            <w:r>
              <w:rPr>
                <w:rFonts w:hint="eastAsia" w:ascii="Times New Roman" w:hAnsi="Times New Roman"/>
                <w:sz w:val="22"/>
                <w:szCs w:val="22"/>
                <w:highlight w:val="none"/>
                <w:lang w:val="en-US" w:eastAsia="zh-CN"/>
              </w:rPr>
              <w:t>4</w:t>
            </w:r>
            <w:r>
              <w:rPr>
                <w:rFonts w:ascii="Times New Roman" w:hAnsi="Times New Roman"/>
                <w:sz w:val="22"/>
                <w:szCs w:val="22"/>
                <w:highlight w:val="none"/>
              </w:rPr>
              <w:t>）投标人的信誉符合招标文件规定；</w:t>
            </w:r>
          </w:p>
          <w:p>
            <w:pPr>
              <w:spacing w:line="288" w:lineRule="auto"/>
              <w:rPr>
                <w:rFonts w:ascii="Times New Roman" w:hAnsi="Times New Roman"/>
                <w:sz w:val="22"/>
                <w:szCs w:val="22"/>
                <w:highlight w:val="none"/>
              </w:rPr>
            </w:pPr>
            <w:r>
              <w:rPr>
                <w:rFonts w:ascii="Times New Roman" w:hAnsi="Times New Roman"/>
                <w:sz w:val="22"/>
                <w:szCs w:val="22"/>
                <w:highlight w:val="none"/>
              </w:rPr>
              <w:t>（</w:t>
            </w:r>
            <w:r>
              <w:rPr>
                <w:rFonts w:hint="eastAsia" w:ascii="Times New Roman" w:hAnsi="Times New Roman"/>
                <w:sz w:val="22"/>
                <w:szCs w:val="22"/>
                <w:highlight w:val="none"/>
                <w:lang w:val="en-US" w:eastAsia="zh-CN"/>
              </w:rPr>
              <w:t>5</w:t>
            </w:r>
            <w:r>
              <w:rPr>
                <w:rFonts w:ascii="Times New Roman" w:hAnsi="Times New Roman"/>
                <w:sz w:val="22"/>
                <w:szCs w:val="22"/>
                <w:highlight w:val="none"/>
              </w:rPr>
              <w:t>）投标人的项目经理资格、在岗情况符合招标文件规定；</w:t>
            </w:r>
          </w:p>
          <w:p>
            <w:pPr>
              <w:spacing w:line="288" w:lineRule="auto"/>
              <w:rPr>
                <w:rFonts w:ascii="Times New Roman" w:hAnsi="Times New Roman"/>
                <w:sz w:val="22"/>
                <w:szCs w:val="22"/>
                <w:highlight w:val="none"/>
              </w:rPr>
            </w:pPr>
            <w:r>
              <w:rPr>
                <w:rFonts w:ascii="Times New Roman" w:hAnsi="Times New Roman"/>
                <w:sz w:val="22"/>
                <w:szCs w:val="22"/>
                <w:highlight w:val="none"/>
              </w:rPr>
              <w:t>（</w:t>
            </w:r>
            <w:r>
              <w:rPr>
                <w:rFonts w:hint="eastAsia" w:ascii="Times New Roman" w:hAnsi="Times New Roman"/>
                <w:sz w:val="22"/>
                <w:szCs w:val="22"/>
                <w:highlight w:val="none"/>
                <w:lang w:val="en-US" w:eastAsia="zh-CN"/>
              </w:rPr>
              <w:t>6</w:t>
            </w:r>
            <w:r>
              <w:rPr>
                <w:rFonts w:ascii="Times New Roman" w:hAnsi="Times New Roman"/>
                <w:sz w:val="22"/>
                <w:szCs w:val="22"/>
                <w:highlight w:val="none"/>
              </w:rPr>
              <w:t>）投标人的其他要求符合招标文件规定；</w:t>
            </w:r>
          </w:p>
          <w:p>
            <w:pPr>
              <w:spacing w:line="288" w:lineRule="auto"/>
              <w:rPr>
                <w:rFonts w:ascii="Times New Roman" w:hAnsi="Times New Roman"/>
                <w:sz w:val="22"/>
                <w:szCs w:val="22"/>
                <w:highlight w:val="none"/>
              </w:rPr>
            </w:pPr>
            <w:r>
              <w:rPr>
                <w:rFonts w:ascii="Times New Roman" w:hAnsi="Times New Roman"/>
                <w:sz w:val="22"/>
                <w:szCs w:val="22"/>
                <w:highlight w:val="none"/>
              </w:rPr>
              <w:t>（</w:t>
            </w:r>
            <w:r>
              <w:rPr>
                <w:rFonts w:hint="eastAsia" w:ascii="Times New Roman" w:hAnsi="Times New Roman"/>
                <w:sz w:val="22"/>
                <w:szCs w:val="22"/>
                <w:highlight w:val="none"/>
                <w:lang w:val="en-US" w:eastAsia="zh-CN"/>
              </w:rPr>
              <w:t>7</w:t>
            </w:r>
            <w:r>
              <w:rPr>
                <w:rFonts w:ascii="Times New Roman" w:hAnsi="Times New Roman"/>
                <w:sz w:val="22"/>
                <w:szCs w:val="22"/>
                <w:highlight w:val="none"/>
              </w:rPr>
              <w:t>）投标人不存在第二章</w:t>
            </w:r>
            <w:r>
              <w:rPr>
                <w:rFonts w:hint="eastAsia" w:ascii="Times New Roman" w:hAnsi="Times New Roman"/>
                <w:sz w:val="22"/>
                <w:szCs w:val="22"/>
                <w:highlight w:val="none"/>
              </w:rPr>
              <w:t>“</w:t>
            </w:r>
            <w:r>
              <w:rPr>
                <w:rFonts w:ascii="Times New Roman" w:hAnsi="Times New Roman"/>
                <w:sz w:val="22"/>
                <w:szCs w:val="22"/>
                <w:highlight w:val="none"/>
              </w:rPr>
              <w:t>投标人须知</w:t>
            </w:r>
            <w:r>
              <w:rPr>
                <w:rFonts w:hint="eastAsia" w:ascii="Times New Roman" w:hAnsi="Times New Roman"/>
                <w:sz w:val="22"/>
                <w:szCs w:val="22"/>
                <w:highlight w:val="none"/>
              </w:rPr>
              <w:t>”</w:t>
            </w:r>
            <w:r>
              <w:rPr>
                <w:rFonts w:ascii="Times New Roman" w:hAnsi="Times New Roman"/>
                <w:sz w:val="22"/>
                <w:szCs w:val="22"/>
                <w:highlight w:val="none"/>
              </w:rPr>
              <w:t>第1.4.3项或1.4.4项规定的任何一种情形；</w:t>
            </w:r>
          </w:p>
          <w:p>
            <w:pPr>
              <w:spacing w:line="288" w:lineRule="auto"/>
              <w:rPr>
                <w:rFonts w:ascii="Times New Roman" w:hAnsi="Times New Roman"/>
                <w:sz w:val="22"/>
                <w:szCs w:val="22"/>
                <w:highlight w:val="none"/>
              </w:rPr>
            </w:pPr>
            <w:r>
              <w:rPr>
                <w:rFonts w:ascii="Times New Roman" w:hAnsi="Times New Roman"/>
                <w:sz w:val="22"/>
                <w:szCs w:val="22"/>
                <w:highlight w:val="none"/>
              </w:rPr>
              <w:t>（</w:t>
            </w:r>
            <w:r>
              <w:rPr>
                <w:rFonts w:hint="eastAsia" w:ascii="Times New Roman" w:hAnsi="Times New Roman"/>
                <w:sz w:val="22"/>
                <w:szCs w:val="22"/>
                <w:highlight w:val="none"/>
                <w:lang w:val="en-US" w:eastAsia="zh-CN"/>
              </w:rPr>
              <w:t>8</w:t>
            </w:r>
            <w:r>
              <w:rPr>
                <w:rFonts w:ascii="Times New Roman" w:hAnsi="Times New Roman"/>
                <w:sz w:val="22"/>
                <w:szCs w:val="22"/>
                <w:highlight w:val="none"/>
              </w:rPr>
              <w:t>）投标人满足第二章</w:t>
            </w:r>
            <w:r>
              <w:rPr>
                <w:rFonts w:hint="eastAsia" w:ascii="Times New Roman" w:hAnsi="Times New Roman"/>
                <w:sz w:val="22"/>
                <w:szCs w:val="22"/>
                <w:highlight w:val="none"/>
              </w:rPr>
              <w:t>“</w:t>
            </w:r>
            <w:r>
              <w:rPr>
                <w:rFonts w:ascii="Times New Roman" w:hAnsi="Times New Roman"/>
                <w:sz w:val="22"/>
                <w:szCs w:val="22"/>
                <w:highlight w:val="none"/>
              </w:rPr>
              <w:t>投标人须知</w:t>
            </w:r>
            <w:r>
              <w:rPr>
                <w:rFonts w:hint="eastAsia" w:ascii="Times New Roman" w:hAnsi="Times New Roman"/>
                <w:sz w:val="22"/>
                <w:szCs w:val="22"/>
                <w:highlight w:val="none"/>
              </w:rPr>
              <w:t>”</w:t>
            </w:r>
            <w:r>
              <w:rPr>
                <w:rFonts w:ascii="Times New Roman" w:hAnsi="Times New Roman"/>
                <w:sz w:val="22"/>
                <w:szCs w:val="22"/>
                <w:highlight w:val="none"/>
              </w:rPr>
              <w:t>第1.4.5项规定；</w:t>
            </w:r>
          </w:p>
          <w:p>
            <w:pPr>
              <w:spacing w:line="288" w:lineRule="auto"/>
              <w:rPr>
                <w:rFonts w:ascii="Times New Roman" w:hAnsi="Times New Roman"/>
                <w:sz w:val="22"/>
                <w:szCs w:val="22"/>
                <w:highlight w:val="none"/>
              </w:rPr>
            </w:pPr>
            <w:r>
              <w:rPr>
                <w:rFonts w:ascii="Times New Roman" w:hAnsi="Times New Roman"/>
                <w:sz w:val="22"/>
                <w:szCs w:val="22"/>
                <w:highlight w:val="none"/>
              </w:rPr>
              <w:t>（</w:t>
            </w:r>
            <w:r>
              <w:rPr>
                <w:rFonts w:hint="eastAsia" w:ascii="Times New Roman" w:hAnsi="Times New Roman"/>
                <w:sz w:val="22"/>
                <w:szCs w:val="22"/>
                <w:highlight w:val="none"/>
                <w:lang w:val="en-US" w:eastAsia="zh-CN"/>
              </w:rPr>
              <w:t>9</w:t>
            </w:r>
            <w:r>
              <w:rPr>
                <w:rFonts w:ascii="Times New Roman" w:hAnsi="Times New Roman"/>
                <w:sz w:val="22"/>
                <w:szCs w:val="22"/>
                <w:highlight w:val="none"/>
              </w:rPr>
              <w:t>）以联合体形式参与投标的，联合体各方均未再以自己名义单独或参加其他联合体在同一标段中投标；独立参与投标的，投标人未同时参加联合体在同一标段中投标。</w:t>
            </w:r>
          </w:p>
        </w:tc>
      </w:tr>
    </w:tbl>
    <w:p>
      <w:pPr>
        <w:pStyle w:val="6"/>
        <w:rPr>
          <w:rStyle w:val="12"/>
          <w:rFonts w:hint="eastAsia" w:eastAsia="黑体"/>
          <w:b/>
          <w:bCs w:val="0"/>
          <w:sz w:val="24"/>
          <w:szCs w:val="24"/>
          <w:highlight w:val="none"/>
        </w:rPr>
      </w:pPr>
      <w:r>
        <w:rPr>
          <w:b w:val="0"/>
          <w:sz w:val="24"/>
          <w:highlight w:val="none"/>
        </w:rPr>
        <w:br w:type="page"/>
      </w:r>
      <w:r>
        <w:rPr>
          <w:rStyle w:val="12"/>
          <w:rFonts w:hint="eastAsia" w:eastAsia="黑体"/>
          <w:b/>
          <w:bCs w:val="0"/>
          <w:sz w:val="24"/>
          <w:szCs w:val="24"/>
          <w:highlight w:val="none"/>
        </w:rPr>
        <w:t>表B</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664"/>
        <w:gridCol w:w="63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53" w:type="dxa"/>
            <w:gridSpan w:val="2"/>
            <w:noWrap w:val="0"/>
            <w:vAlign w:val="center"/>
          </w:tcPr>
          <w:p>
            <w:pPr>
              <w:jc w:val="center"/>
              <w:rPr>
                <w:rFonts w:ascii="Times New Roman" w:hAnsi="Times New Roman"/>
                <w:b/>
                <w:sz w:val="22"/>
                <w:szCs w:val="22"/>
                <w:highlight w:val="none"/>
              </w:rPr>
            </w:pPr>
            <w:r>
              <w:rPr>
                <w:rFonts w:ascii="Times New Roman" w:hAnsi="Times New Roman"/>
                <w:b/>
                <w:sz w:val="22"/>
                <w:szCs w:val="22"/>
                <w:highlight w:val="none"/>
              </w:rPr>
              <w:t>条款号</w:t>
            </w:r>
          </w:p>
        </w:tc>
        <w:tc>
          <w:tcPr>
            <w:tcW w:w="6319" w:type="dxa"/>
            <w:noWrap w:val="0"/>
            <w:vAlign w:val="center"/>
          </w:tcPr>
          <w:p>
            <w:pPr>
              <w:jc w:val="center"/>
              <w:rPr>
                <w:rFonts w:ascii="Times New Roman" w:hAnsi="Times New Roman"/>
                <w:b/>
                <w:sz w:val="22"/>
                <w:szCs w:val="22"/>
                <w:highlight w:val="none"/>
              </w:rPr>
            </w:pPr>
            <w:r>
              <w:rPr>
                <w:rFonts w:ascii="Times New Roman" w:hAnsi="Times New Roman"/>
                <w:b/>
                <w:sz w:val="22"/>
                <w:szCs w:val="22"/>
                <w:highlight w:val="none"/>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9" w:type="dxa"/>
            <w:noWrap w:val="0"/>
            <w:vAlign w:val="center"/>
          </w:tcPr>
          <w:p>
            <w:pPr>
              <w:spacing w:line="440" w:lineRule="exact"/>
              <w:jc w:val="center"/>
              <w:rPr>
                <w:rFonts w:ascii="Times New Roman" w:hAnsi="Times New Roman"/>
                <w:sz w:val="22"/>
                <w:szCs w:val="22"/>
                <w:highlight w:val="none"/>
              </w:rPr>
            </w:pPr>
            <w:r>
              <w:rPr>
                <w:rFonts w:ascii="Times New Roman" w:hAnsi="Times New Roman"/>
                <w:sz w:val="22"/>
                <w:szCs w:val="22"/>
                <w:highlight w:val="none"/>
              </w:rPr>
              <w:t>2.2.1</w:t>
            </w:r>
          </w:p>
        </w:tc>
        <w:tc>
          <w:tcPr>
            <w:tcW w:w="1664" w:type="dxa"/>
            <w:noWrap w:val="0"/>
            <w:vAlign w:val="center"/>
          </w:tcPr>
          <w:p>
            <w:pPr>
              <w:jc w:val="center"/>
              <w:rPr>
                <w:rFonts w:ascii="Times New Roman" w:hAnsi="Times New Roman"/>
                <w:sz w:val="22"/>
                <w:szCs w:val="22"/>
                <w:highlight w:val="none"/>
              </w:rPr>
            </w:pPr>
            <w:r>
              <w:rPr>
                <w:rFonts w:ascii="Times New Roman" w:hAnsi="Times New Roman"/>
                <w:sz w:val="22"/>
                <w:szCs w:val="22"/>
                <w:highlight w:val="none"/>
              </w:rPr>
              <w:t>分值构成</w:t>
            </w:r>
            <w:r>
              <w:rPr>
                <w:rFonts w:hint="eastAsia"/>
                <w:sz w:val="22"/>
                <w:szCs w:val="22"/>
                <w:highlight w:val="none"/>
              </w:rPr>
              <w:t>（总分</w:t>
            </w:r>
            <w:r>
              <w:rPr>
                <w:rFonts w:hint="eastAsia"/>
                <w:sz w:val="22"/>
                <w:szCs w:val="22"/>
                <w:highlight w:val="none"/>
                <w:lang w:val="en-US" w:eastAsia="zh-CN"/>
              </w:rPr>
              <w:t>4</w:t>
            </w:r>
            <w:r>
              <w:rPr>
                <w:rFonts w:hint="eastAsia"/>
                <w:sz w:val="22"/>
                <w:szCs w:val="22"/>
                <w:highlight w:val="none"/>
              </w:rPr>
              <w:t>0分）</w:t>
            </w:r>
          </w:p>
        </w:tc>
        <w:tc>
          <w:tcPr>
            <w:tcW w:w="6319" w:type="dxa"/>
            <w:noWrap w:val="0"/>
            <w:vAlign w:val="center"/>
          </w:tcPr>
          <w:p>
            <w:pPr>
              <w:snapToGrid w:val="0"/>
              <w:spacing w:line="276" w:lineRule="auto"/>
              <w:ind w:firstLine="630" w:firstLineChars="300"/>
              <w:rPr>
                <w:highlight w:val="none"/>
              </w:rPr>
            </w:pPr>
            <w:r>
              <w:rPr>
                <w:highlight w:val="none"/>
              </w:rPr>
              <w:t>商务</w:t>
            </w:r>
            <w:r>
              <w:rPr>
                <w:rFonts w:hint="eastAsia"/>
                <w:highlight w:val="none"/>
              </w:rPr>
              <w:t>技术</w:t>
            </w:r>
            <w:r>
              <w:rPr>
                <w:highlight w:val="none"/>
              </w:rPr>
              <w:t>文件：</w:t>
            </w:r>
            <w:r>
              <w:rPr>
                <w:rFonts w:hint="eastAsia"/>
                <w:highlight w:val="none"/>
                <w:lang w:val="en-US" w:eastAsia="zh-CN"/>
              </w:rPr>
              <w:t>4</w:t>
            </w:r>
            <w:r>
              <w:rPr>
                <w:highlight w:val="none"/>
              </w:rPr>
              <w:t>0分</w:t>
            </w:r>
          </w:p>
          <w:p>
            <w:pPr>
              <w:snapToGrid w:val="0"/>
              <w:spacing w:line="276" w:lineRule="auto"/>
              <w:ind w:firstLine="630" w:firstLineChars="300"/>
              <w:rPr>
                <w:highlight w:val="none"/>
              </w:rPr>
            </w:pPr>
            <w:r>
              <w:rPr>
                <w:highlight w:val="none"/>
              </w:rPr>
              <w:t>其中：</w:t>
            </w:r>
            <w:r>
              <w:rPr>
                <w:rFonts w:hint="eastAsia"/>
                <w:highlight w:val="none"/>
                <w:lang w:eastAsia="zh-CN"/>
              </w:rPr>
              <w:t>服务方案</w:t>
            </w:r>
            <w:r>
              <w:rPr>
                <w:highlight w:val="none"/>
              </w:rPr>
              <w:t>：</w:t>
            </w:r>
            <w:r>
              <w:rPr>
                <w:rFonts w:hint="eastAsia"/>
                <w:highlight w:val="none"/>
                <w:lang w:val="en-US" w:eastAsia="zh-CN"/>
              </w:rPr>
              <w:t>1</w:t>
            </w:r>
            <w:r>
              <w:rPr>
                <w:rFonts w:hint="eastAsia"/>
                <w:highlight w:val="none"/>
              </w:rPr>
              <w:t>5</w:t>
            </w:r>
            <w:r>
              <w:rPr>
                <w:highlight w:val="none"/>
              </w:rPr>
              <w:t>分</w:t>
            </w:r>
          </w:p>
          <w:p>
            <w:pPr>
              <w:snapToGrid w:val="0"/>
              <w:spacing w:after="0" w:line="276" w:lineRule="auto"/>
              <w:ind w:firstLine="630" w:firstLineChars="300"/>
              <w:rPr>
                <w:rFonts w:hint="default"/>
                <w:highlight w:val="none"/>
                <w:lang w:val="en-US" w:eastAsia="zh-CN"/>
              </w:rPr>
            </w:pPr>
            <w:r>
              <w:rPr>
                <w:rFonts w:hint="eastAsia"/>
                <w:highlight w:val="none"/>
                <w:lang w:val="en-US" w:eastAsia="zh-CN"/>
              </w:rPr>
              <w:t xml:space="preserve">      项目经理：10分</w:t>
            </w:r>
          </w:p>
          <w:p>
            <w:pPr>
              <w:snapToGrid w:val="0"/>
              <w:spacing w:line="276" w:lineRule="auto"/>
              <w:ind w:firstLine="630" w:firstLineChars="300"/>
              <w:rPr>
                <w:rFonts w:hint="default" w:eastAsia="宋体"/>
                <w:highlight w:val="none"/>
                <w:lang w:val="en-US" w:eastAsia="zh-CN"/>
              </w:rPr>
            </w:pPr>
            <w:r>
              <w:rPr>
                <w:rFonts w:hint="eastAsia"/>
                <w:highlight w:val="none"/>
                <w:lang w:eastAsia="zh-CN"/>
              </w:rPr>
              <w:t>项目</w:t>
            </w:r>
            <w:r>
              <w:rPr>
                <w:highlight w:val="none"/>
              </w:rPr>
              <w:t>业绩：</w:t>
            </w:r>
            <w:r>
              <w:rPr>
                <w:rFonts w:hint="eastAsia"/>
                <w:highlight w:val="none"/>
              </w:rPr>
              <w:t>15</w:t>
            </w:r>
            <w:r>
              <w:rPr>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9" w:type="dxa"/>
            <w:noWrap w:val="0"/>
            <w:vAlign w:val="center"/>
          </w:tcPr>
          <w:p>
            <w:pPr>
              <w:pStyle w:val="13"/>
              <w:ind w:left="153" w:right="153"/>
              <w:jc w:val="center"/>
              <w:rPr>
                <w:rFonts w:ascii="Times New Roman" w:hAnsi="Times New Roman"/>
                <w:sz w:val="22"/>
                <w:szCs w:val="22"/>
                <w:highlight w:val="none"/>
              </w:rPr>
            </w:pPr>
            <w:r>
              <w:rPr>
                <w:rFonts w:ascii="Times New Roman" w:hAnsi="Times New Roman" w:cs="Times New Roman"/>
                <w:sz w:val="22"/>
                <w:szCs w:val="22"/>
                <w:highlight w:val="none"/>
              </w:rPr>
              <w:t>2.2.3</w:t>
            </w:r>
          </w:p>
        </w:tc>
        <w:tc>
          <w:tcPr>
            <w:tcW w:w="1664" w:type="dxa"/>
            <w:noWrap w:val="0"/>
            <w:vAlign w:val="center"/>
          </w:tcPr>
          <w:p>
            <w:pPr>
              <w:pStyle w:val="13"/>
              <w:spacing w:before="1"/>
              <w:ind w:left="90" w:right="88"/>
              <w:jc w:val="center"/>
              <w:rPr>
                <w:rFonts w:ascii="Times New Roman" w:hAnsi="Times New Roman"/>
                <w:sz w:val="22"/>
                <w:szCs w:val="22"/>
                <w:highlight w:val="none"/>
              </w:rPr>
            </w:pPr>
            <w:r>
              <w:rPr>
                <w:rFonts w:hint="eastAsia" w:ascii="Times New Roman" w:hAnsi="Times New Roman" w:cs="Times New Roman"/>
                <w:sz w:val="22"/>
                <w:szCs w:val="22"/>
                <w:highlight w:val="none"/>
                <w:lang w:eastAsia="zh-CN"/>
              </w:rPr>
              <w:t>报价文件</w:t>
            </w:r>
            <w:r>
              <w:rPr>
                <w:rFonts w:ascii="Times New Roman" w:hAnsi="Times New Roman" w:cs="Times New Roman"/>
                <w:sz w:val="22"/>
                <w:szCs w:val="22"/>
                <w:highlight w:val="none"/>
              </w:rPr>
              <w:t>详细评审标准</w:t>
            </w:r>
          </w:p>
        </w:tc>
        <w:tc>
          <w:tcPr>
            <w:tcW w:w="6319" w:type="dxa"/>
            <w:noWrap w:val="0"/>
            <w:vAlign w:val="center"/>
          </w:tcPr>
          <w:p>
            <w:pPr>
              <w:ind w:firstLine="440" w:firstLineChars="200"/>
              <w:rPr>
                <w:rFonts w:ascii="Times New Roman" w:hAnsi="Times New Roman"/>
                <w:sz w:val="22"/>
                <w:szCs w:val="21"/>
                <w:highlight w:val="none"/>
              </w:rPr>
            </w:pPr>
            <w:r>
              <w:rPr>
                <w:rFonts w:hint="eastAsia" w:ascii="Times New Roman" w:hAnsi="Times New Roman"/>
                <w:sz w:val="22"/>
                <w:szCs w:val="21"/>
                <w:highlight w:val="none"/>
              </w:rPr>
              <w:t>（1）</w:t>
            </w:r>
            <w:r>
              <w:rPr>
                <w:rFonts w:ascii="Times New Roman" w:hAnsi="Times New Roman"/>
                <w:sz w:val="22"/>
                <w:szCs w:val="21"/>
                <w:highlight w:val="none"/>
              </w:rPr>
              <w:t>评标价的确定：</w:t>
            </w:r>
          </w:p>
          <w:p>
            <w:pPr>
              <w:ind w:firstLine="440" w:firstLineChars="200"/>
              <w:rPr>
                <w:rFonts w:hint="eastAsia"/>
                <w:highlight w:val="none"/>
              </w:rPr>
            </w:pPr>
            <w:r>
              <w:rPr>
                <w:rFonts w:ascii="Times New Roman" w:hAnsi="Times New Roman"/>
                <w:sz w:val="22"/>
                <w:szCs w:val="21"/>
                <w:highlight w:val="none"/>
              </w:rPr>
              <w:t>评标价Di＝投标函文字报价</w:t>
            </w:r>
          </w:p>
        </w:tc>
      </w:tr>
    </w:tbl>
    <w:p>
      <w:pPr>
        <w:pStyle w:val="13"/>
        <w:ind w:left="153" w:right="153"/>
        <w:jc w:val="center"/>
        <w:rPr>
          <w:rFonts w:ascii="Times New Roman" w:hAnsi="Times New Roman" w:cs="Times New Roman"/>
          <w:sz w:val="22"/>
          <w:szCs w:val="22"/>
          <w:highlight w:val="none"/>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664"/>
        <w:gridCol w:w="63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9" w:type="dxa"/>
            <w:noWrap w:val="0"/>
            <w:vAlign w:val="center"/>
          </w:tcPr>
          <w:p>
            <w:pPr>
              <w:pStyle w:val="13"/>
              <w:ind w:left="153" w:right="153"/>
              <w:jc w:val="center"/>
              <w:rPr>
                <w:rFonts w:ascii="Times New Roman" w:hAnsi="Times New Roman" w:cs="Times New Roman"/>
                <w:sz w:val="22"/>
                <w:szCs w:val="22"/>
                <w:highlight w:val="none"/>
              </w:rPr>
            </w:pPr>
            <w:r>
              <w:rPr>
                <w:rFonts w:ascii="Times New Roman" w:hAnsi="Times New Roman" w:cs="Times New Roman"/>
                <w:sz w:val="22"/>
                <w:szCs w:val="22"/>
                <w:highlight w:val="none"/>
              </w:rPr>
              <w:t>3.2.4</w:t>
            </w:r>
          </w:p>
        </w:tc>
        <w:tc>
          <w:tcPr>
            <w:tcW w:w="1664" w:type="dxa"/>
            <w:noWrap w:val="0"/>
            <w:vAlign w:val="center"/>
          </w:tcPr>
          <w:p>
            <w:pPr>
              <w:pStyle w:val="13"/>
              <w:spacing w:before="72"/>
              <w:ind w:left="90" w:right="88"/>
              <w:jc w:val="center"/>
              <w:rPr>
                <w:rFonts w:ascii="Times New Roman" w:hAnsi="Times New Roman" w:cs="Times New Roman"/>
                <w:sz w:val="22"/>
                <w:szCs w:val="22"/>
                <w:highlight w:val="none"/>
              </w:rPr>
            </w:pPr>
            <w:r>
              <w:rPr>
                <w:rFonts w:ascii="Times New Roman" w:hAnsi="Times New Roman" w:cs="Times New Roman"/>
                <w:sz w:val="22"/>
                <w:szCs w:val="22"/>
                <w:highlight w:val="none"/>
              </w:rPr>
              <w:t>通过</w:t>
            </w:r>
            <w:r>
              <w:rPr>
                <w:rFonts w:hint="eastAsia" w:ascii="Times New Roman" w:hAnsi="Times New Roman" w:cs="Times New Roman"/>
                <w:sz w:val="22"/>
                <w:szCs w:val="22"/>
                <w:highlight w:val="none"/>
                <w:lang w:eastAsia="zh-CN"/>
              </w:rPr>
              <w:t>商务技术文件</w:t>
            </w:r>
            <w:r>
              <w:rPr>
                <w:rFonts w:ascii="Times New Roman" w:hAnsi="Times New Roman" w:cs="Times New Roman"/>
                <w:sz w:val="22"/>
                <w:szCs w:val="22"/>
                <w:highlight w:val="none"/>
              </w:rPr>
              <w:t>详细评审的投标人数量</w:t>
            </w:r>
          </w:p>
        </w:tc>
        <w:tc>
          <w:tcPr>
            <w:tcW w:w="6319" w:type="dxa"/>
            <w:noWrap w:val="0"/>
            <w:vAlign w:val="center"/>
          </w:tcPr>
          <w:p>
            <w:pPr>
              <w:spacing w:line="276" w:lineRule="auto"/>
              <w:ind w:firstLine="440" w:firstLineChars="200"/>
              <w:rPr>
                <w:rFonts w:ascii="Times New Roman" w:hAnsi="Times New Roman"/>
                <w:sz w:val="22"/>
                <w:szCs w:val="22"/>
                <w:highlight w:val="none"/>
              </w:rPr>
            </w:pPr>
            <w:r>
              <w:rPr>
                <w:rFonts w:ascii="Times New Roman" w:hAnsi="Times New Roman"/>
                <w:sz w:val="22"/>
                <w:szCs w:val="22"/>
                <w:highlight w:val="none"/>
              </w:rPr>
              <w:t>按照投标人</w:t>
            </w:r>
            <w:r>
              <w:rPr>
                <w:rFonts w:hint="eastAsia" w:ascii="Times New Roman" w:hAnsi="Times New Roman"/>
                <w:sz w:val="22"/>
                <w:szCs w:val="22"/>
                <w:highlight w:val="none"/>
              </w:rPr>
              <w:t>的</w:t>
            </w:r>
            <w:r>
              <w:rPr>
                <w:rFonts w:ascii="Times New Roman" w:hAnsi="Times New Roman"/>
                <w:sz w:val="22"/>
                <w:szCs w:val="22"/>
                <w:highlight w:val="none"/>
              </w:rPr>
              <w:t>商务和技术得分由高到低排序，按下表约定</w:t>
            </w:r>
            <w:r>
              <w:rPr>
                <w:rFonts w:hint="eastAsia" w:ascii="Times New Roman" w:hAnsi="Times New Roman"/>
                <w:sz w:val="22"/>
                <w:szCs w:val="22"/>
                <w:highlight w:val="none"/>
              </w:rPr>
              <w:t>的</w:t>
            </w:r>
            <w:r>
              <w:rPr>
                <w:rFonts w:ascii="Times New Roman" w:hAnsi="Times New Roman"/>
                <w:sz w:val="22"/>
                <w:szCs w:val="22"/>
                <w:highlight w:val="none"/>
              </w:rPr>
              <w:t>前</w:t>
            </w:r>
            <w:r>
              <w:rPr>
                <w:rFonts w:ascii="Times New Roman" w:hAnsi="Times New Roman"/>
                <w:sz w:val="22"/>
                <w:szCs w:val="22"/>
                <w:highlight w:val="none"/>
                <w:u w:val="single"/>
              </w:rPr>
              <w:t xml:space="preserve"> N </w:t>
            </w:r>
            <w:r>
              <w:rPr>
                <w:rFonts w:ascii="Times New Roman" w:hAnsi="Times New Roman"/>
                <w:sz w:val="22"/>
                <w:szCs w:val="22"/>
                <w:highlight w:val="none"/>
              </w:rPr>
              <w:t>名</w:t>
            </w:r>
            <w:r>
              <w:rPr>
                <w:rFonts w:hint="eastAsia" w:ascii="Times New Roman" w:hAnsi="Times New Roman"/>
                <w:sz w:val="22"/>
                <w:szCs w:val="22"/>
                <w:highlight w:val="none"/>
              </w:rPr>
              <w:t>投标人中，商务与技术文件评审得分低于总分</w:t>
            </w:r>
            <w:r>
              <w:rPr>
                <w:rFonts w:hint="eastAsia" w:ascii="Times New Roman" w:hAnsi="Times New Roman"/>
                <w:sz w:val="22"/>
                <w:szCs w:val="22"/>
                <w:highlight w:val="none"/>
                <w:lang w:val="en-US" w:eastAsia="zh-CN"/>
              </w:rPr>
              <w:t>8</w:t>
            </w:r>
            <w:r>
              <w:rPr>
                <w:rFonts w:hint="eastAsia" w:ascii="Times New Roman" w:hAnsi="Times New Roman"/>
                <w:sz w:val="22"/>
                <w:szCs w:val="22"/>
                <w:highlight w:val="none"/>
              </w:rPr>
              <w:t>0%的投标人，其报价文件不参与后续评审；前N名中其他投标人的报价文件</w:t>
            </w:r>
            <w:r>
              <w:rPr>
                <w:rFonts w:ascii="Times New Roman" w:hAnsi="Times New Roman"/>
                <w:sz w:val="22"/>
                <w:szCs w:val="22"/>
                <w:highlight w:val="none"/>
              </w:rPr>
              <w:t>进入</w:t>
            </w:r>
            <w:r>
              <w:rPr>
                <w:rFonts w:hint="eastAsia" w:ascii="Times New Roman" w:hAnsi="Times New Roman"/>
                <w:sz w:val="22"/>
                <w:szCs w:val="22"/>
                <w:highlight w:val="none"/>
              </w:rPr>
              <w:t>后续</w:t>
            </w:r>
            <w:r>
              <w:rPr>
                <w:rFonts w:ascii="Times New Roman" w:hAnsi="Times New Roman"/>
                <w:sz w:val="22"/>
                <w:szCs w:val="22"/>
                <w:highlight w:val="none"/>
              </w:rPr>
              <w:t>评审。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1"/>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1" w:type="dxa"/>
                  <w:noWrap w:val="0"/>
                  <w:vAlign w:val="top"/>
                </w:tcPr>
                <w:p>
                  <w:pPr>
                    <w:spacing w:line="276" w:lineRule="auto"/>
                    <w:rPr>
                      <w:rFonts w:ascii="Times New Roman" w:hAnsi="Times New Roman"/>
                      <w:sz w:val="22"/>
                      <w:szCs w:val="22"/>
                      <w:highlight w:val="none"/>
                    </w:rPr>
                  </w:pPr>
                  <w:r>
                    <w:rPr>
                      <w:rFonts w:hint="eastAsia" w:ascii="Times New Roman" w:hAnsi="Times New Roman"/>
                      <w:sz w:val="22"/>
                      <w:szCs w:val="22"/>
                      <w:highlight w:val="none"/>
                    </w:rPr>
                    <w:t>通过</w:t>
                  </w:r>
                  <w:r>
                    <w:rPr>
                      <w:rFonts w:hint="eastAsia" w:ascii="Times New Roman" w:hAnsi="Times New Roman"/>
                      <w:sz w:val="22"/>
                      <w:szCs w:val="22"/>
                      <w:highlight w:val="none"/>
                      <w:lang w:eastAsia="zh-CN"/>
                    </w:rPr>
                    <w:t>商务技术文件</w:t>
                  </w:r>
                  <w:r>
                    <w:rPr>
                      <w:rFonts w:hint="eastAsia" w:ascii="Times New Roman" w:hAnsi="Times New Roman"/>
                      <w:sz w:val="22"/>
                      <w:szCs w:val="22"/>
                      <w:highlight w:val="none"/>
                    </w:rPr>
                    <w:t>初步评审的投标人数量（T）</w:t>
                  </w:r>
                </w:p>
              </w:tc>
              <w:tc>
                <w:tcPr>
                  <w:tcW w:w="3052" w:type="dxa"/>
                  <w:noWrap w:val="0"/>
                  <w:vAlign w:val="center"/>
                </w:tcPr>
                <w:p>
                  <w:pPr>
                    <w:spacing w:line="276" w:lineRule="auto"/>
                    <w:jc w:val="center"/>
                    <w:rPr>
                      <w:rFonts w:ascii="Times New Roman" w:hAnsi="Times New Roman"/>
                      <w:sz w:val="22"/>
                      <w:szCs w:val="22"/>
                      <w:highlight w:val="none"/>
                    </w:rPr>
                  </w:pPr>
                  <w:r>
                    <w:rPr>
                      <w:rFonts w:hint="eastAsia" w:ascii="Times New Roman" w:hAnsi="Times New Roman"/>
                      <w:sz w:val="22"/>
                      <w:szCs w:val="22"/>
                      <w:highlight w:val="none"/>
                    </w:rPr>
                    <w:t>进入报价文件评审的投标人名次（N）的确定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1" w:type="dxa"/>
                  <w:noWrap w:val="0"/>
                  <w:vAlign w:val="center"/>
                </w:tcPr>
                <w:p>
                  <w:pPr>
                    <w:spacing w:line="276" w:lineRule="auto"/>
                    <w:jc w:val="center"/>
                    <w:rPr>
                      <w:rFonts w:ascii="Times New Roman" w:hAnsi="Times New Roman"/>
                      <w:sz w:val="22"/>
                      <w:szCs w:val="22"/>
                      <w:highlight w:val="none"/>
                    </w:rPr>
                  </w:pPr>
                  <w:r>
                    <w:rPr>
                      <w:rFonts w:hint="eastAsia" w:ascii="Times New Roman" w:hAnsi="Times New Roman"/>
                      <w:sz w:val="22"/>
                      <w:szCs w:val="22"/>
                      <w:highlight w:val="none"/>
                    </w:rPr>
                    <w:t>T&gt;18</w:t>
                  </w:r>
                </w:p>
              </w:tc>
              <w:tc>
                <w:tcPr>
                  <w:tcW w:w="3052" w:type="dxa"/>
                  <w:noWrap w:val="0"/>
                  <w:vAlign w:val="center"/>
                </w:tcPr>
                <w:p>
                  <w:pPr>
                    <w:spacing w:line="276" w:lineRule="auto"/>
                    <w:jc w:val="center"/>
                    <w:rPr>
                      <w:rFonts w:ascii="Times New Roman" w:hAnsi="Times New Roman"/>
                      <w:sz w:val="22"/>
                      <w:szCs w:val="22"/>
                      <w:highlight w:val="none"/>
                    </w:rPr>
                  </w:pPr>
                  <w:r>
                    <w:rPr>
                      <w:rFonts w:hint="eastAsia" w:ascii="Times New Roman" w:hAnsi="Times New Roman"/>
                      <w:sz w:val="22"/>
                      <w:szCs w:val="22"/>
                      <w:highlight w:val="none"/>
                    </w:rPr>
                    <w:t>N=9（并列第9名的投标人全</w:t>
                  </w:r>
                  <w:r>
                    <w:rPr>
                      <w:rFonts w:hint="eastAsia" w:ascii="Times New Roman" w:hAnsi="Times New Roman"/>
                      <w:sz w:val="22"/>
                      <w:szCs w:val="22"/>
                      <w:highlight w:val="none"/>
                      <w:lang w:eastAsia="zh-CN"/>
                    </w:rPr>
                    <w:t>进</w:t>
                  </w:r>
                  <w:r>
                    <w:rPr>
                      <w:rFonts w:hint="eastAsia" w:ascii="Times New Roman" w:hAnsi="Times New Roman"/>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1" w:type="dxa"/>
                  <w:noWrap w:val="0"/>
                  <w:vAlign w:val="center"/>
                </w:tcPr>
                <w:p>
                  <w:pPr>
                    <w:spacing w:line="276" w:lineRule="auto"/>
                    <w:jc w:val="center"/>
                    <w:rPr>
                      <w:rFonts w:ascii="Times New Roman" w:hAnsi="Times New Roman"/>
                      <w:sz w:val="22"/>
                      <w:szCs w:val="22"/>
                      <w:highlight w:val="none"/>
                    </w:rPr>
                  </w:pPr>
                  <w:r>
                    <w:rPr>
                      <w:rFonts w:hint="eastAsia" w:ascii="Times New Roman" w:hAnsi="Times New Roman"/>
                      <w:sz w:val="22"/>
                      <w:szCs w:val="22"/>
                      <w:highlight w:val="none"/>
                    </w:rPr>
                    <w:t>1</w:t>
                  </w:r>
                  <w:r>
                    <w:rPr>
                      <w:rFonts w:hint="eastAsia" w:ascii="Times New Roman" w:hAnsi="Times New Roman"/>
                      <w:sz w:val="22"/>
                      <w:szCs w:val="22"/>
                      <w:highlight w:val="none"/>
                      <w:lang w:val="en-US" w:eastAsia="zh-CN"/>
                    </w:rPr>
                    <w:t>3</w:t>
                  </w:r>
                  <w:r>
                    <w:rPr>
                      <w:rFonts w:hint="eastAsia" w:ascii="Times New Roman" w:hAnsi="Times New Roman"/>
                      <w:sz w:val="22"/>
                      <w:szCs w:val="22"/>
                      <w:highlight w:val="none"/>
                    </w:rPr>
                    <w:t>≤T≤18</w:t>
                  </w:r>
                </w:p>
              </w:tc>
              <w:tc>
                <w:tcPr>
                  <w:tcW w:w="3052" w:type="dxa"/>
                  <w:noWrap w:val="0"/>
                  <w:vAlign w:val="center"/>
                </w:tcPr>
                <w:p>
                  <w:pPr>
                    <w:spacing w:line="276" w:lineRule="auto"/>
                    <w:jc w:val="center"/>
                    <w:rPr>
                      <w:rFonts w:ascii="Times New Roman" w:hAnsi="Times New Roman"/>
                      <w:sz w:val="22"/>
                      <w:szCs w:val="22"/>
                      <w:highlight w:val="none"/>
                    </w:rPr>
                  </w:pPr>
                  <w:r>
                    <w:rPr>
                      <w:rFonts w:hint="eastAsia" w:ascii="Times New Roman" w:hAnsi="Times New Roman"/>
                      <w:sz w:val="22"/>
                      <w:szCs w:val="22"/>
                      <w:highlight w:val="none"/>
                    </w:rPr>
                    <w:t>N=T/2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1" w:type="dxa"/>
                  <w:noWrap w:val="0"/>
                  <w:vAlign w:val="center"/>
                </w:tcPr>
                <w:p>
                  <w:pPr>
                    <w:spacing w:line="276" w:lineRule="auto"/>
                    <w:jc w:val="center"/>
                    <w:rPr>
                      <w:rFonts w:hint="eastAsia" w:ascii="Times New Roman" w:hAnsi="Times New Roman" w:eastAsia="宋体"/>
                      <w:sz w:val="22"/>
                      <w:szCs w:val="22"/>
                      <w:highlight w:val="none"/>
                      <w:lang w:eastAsia="zh-CN"/>
                    </w:rPr>
                  </w:pPr>
                  <w:r>
                    <w:rPr>
                      <w:rFonts w:hint="eastAsia" w:ascii="Times New Roman" w:hAnsi="Times New Roman"/>
                      <w:sz w:val="22"/>
                      <w:szCs w:val="22"/>
                      <w:highlight w:val="none"/>
                    </w:rPr>
                    <w:t>6≤T≤1</w:t>
                  </w:r>
                  <w:r>
                    <w:rPr>
                      <w:rFonts w:hint="eastAsia" w:ascii="Times New Roman" w:hAnsi="Times New Roman"/>
                      <w:sz w:val="22"/>
                      <w:szCs w:val="22"/>
                      <w:highlight w:val="none"/>
                      <w:lang w:val="en-US" w:eastAsia="zh-CN"/>
                    </w:rPr>
                    <w:t>2</w:t>
                  </w:r>
                </w:p>
              </w:tc>
              <w:tc>
                <w:tcPr>
                  <w:tcW w:w="3052" w:type="dxa"/>
                  <w:noWrap w:val="0"/>
                  <w:vAlign w:val="center"/>
                </w:tcPr>
                <w:p>
                  <w:pPr>
                    <w:spacing w:line="276" w:lineRule="auto"/>
                    <w:jc w:val="center"/>
                    <w:rPr>
                      <w:rFonts w:ascii="Times New Roman" w:hAnsi="Times New Roman"/>
                      <w:sz w:val="22"/>
                      <w:szCs w:val="22"/>
                      <w:highlight w:val="none"/>
                    </w:rPr>
                  </w:pPr>
                  <w:r>
                    <w:rPr>
                      <w:rFonts w:hint="eastAsia" w:ascii="Times New Roman" w:hAnsi="Times New Roman"/>
                      <w:sz w:val="22"/>
                      <w:szCs w:val="22"/>
                      <w:highlight w:val="none"/>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1" w:type="dxa"/>
                  <w:noWrap w:val="0"/>
                  <w:vAlign w:val="center"/>
                </w:tcPr>
                <w:p>
                  <w:pPr>
                    <w:spacing w:line="276" w:lineRule="auto"/>
                    <w:jc w:val="center"/>
                    <w:rPr>
                      <w:rFonts w:ascii="Times New Roman" w:hAnsi="Times New Roman"/>
                      <w:sz w:val="22"/>
                      <w:szCs w:val="22"/>
                      <w:highlight w:val="none"/>
                    </w:rPr>
                  </w:pPr>
                  <w:r>
                    <w:rPr>
                      <w:rFonts w:hint="eastAsia" w:ascii="Times New Roman" w:hAnsi="Times New Roman"/>
                      <w:sz w:val="22"/>
                      <w:szCs w:val="22"/>
                      <w:highlight w:val="none"/>
                    </w:rPr>
                    <w:t>3≤T≤5</w:t>
                  </w:r>
                </w:p>
              </w:tc>
              <w:tc>
                <w:tcPr>
                  <w:tcW w:w="3052" w:type="dxa"/>
                  <w:noWrap w:val="0"/>
                  <w:vAlign w:val="top"/>
                </w:tcPr>
                <w:p>
                  <w:pPr>
                    <w:spacing w:line="276" w:lineRule="auto"/>
                    <w:jc w:val="center"/>
                    <w:rPr>
                      <w:rFonts w:ascii="Times New Roman" w:hAnsi="Times New Roman"/>
                      <w:sz w:val="22"/>
                      <w:szCs w:val="22"/>
                      <w:highlight w:val="none"/>
                    </w:rPr>
                  </w:pPr>
                  <w:r>
                    <w:rPr>
                      <w:rFonts w:hint="eastAsia" w:ascii="Times New Roman" w:hAnsi="Times New Roman"/>
                      <w:sz w:val="22"/>
                      <w:szCs w:val="22"/>
                      <w:highlight w:val="none"/>
                    </w:rPr>
                    <w:t>N=T(全</w:t>
                  </w:r>
                  <w:r>
                    <w:rPr>
                      <w:rFonts w:hint="eastAsia" w:ascii="Times New Roman" w:hAnsi="Times New Roman"/>
                      <w:sz w:val="22"/>
                      <w:szCs w:val="22"/>
                      <w:highlight w:val="none"/>
                      <w:lang w:eastAsia="zh-CN"/>
                    </w:rPr>
                    <w:t>进</w:t>
                  </w:r>
                  <w:r>
                    <w:rPr>
                      <w:rFonts w:hint="eastAsia" w:ascii="Times New Roman" w:hAnsi="Times New Roman"/>
                      <w:sz w:val="22"/>
                      <w:szCs w:val="22"/>
                      <w:highlight w:val="none"/>
                    </w:rPr>
                    <w:t>)</w:t>
                  </w:r>
                </w:p>
              </w:tc>
            </w:tr>
          </w:tbl>
          <w:p>
            <w:pPr>
              <w:spacing w:line="276" w:lineRule="auto"/>
              <w:ind w:firstLine="440" w:firstLineChars="200"/>
              <w:rPr>
                <w:rFonts w:ascii="Times New Roman" w:hAnsi="Times New Roman"/>
                <w:sz w:val="22"/>
                <w:szCs w:val="22"/>
                <w:highlight w:val="none"/>
              </w:rPr>
            </w:pPr>
            <w:r>
              <w:rPr>
                <w:rFonts w:ascii="Times New Roman" w:hAnsi="Times New Roman"/>
                <w:sz w:val="22"/>
                <w:szCs w:val="22"/>
                <w:highlight w:val="none"/>
              </w:rPr>
              <w:t>说明：N四舍五入取整数。如出现A家投标人</w:t>
            </w:r>
            <w:r>
              <w:rPr>
                <w:rFonts w:hint="eastAsia" w:ascii="Times New Roman" w:hAnsi="Times New Roman"/>
                <w:sz w:val="22"/>
                <w:szCs w:val="22"/>
                <w:highlight w:val="none"/>
                <w:lang w:eastAsia="zh-CN"/>
              </w:rPr>
              <w:t>商务技术文件</w:t>
            </w:r>
            <w:r>
              <w:rPr>
                <w:rFonts w:ascii="Times New Roman" w:hAnsi="Times New Roman"/>
                <w:sz w:val="22"/>
                <w:szCs w:val="22"/>
                <w:highlight w:val="none"/>
              </w:rPr>
              <w:t>得分相同的情况，其名次并列为第B名，则排名在A家投标人之后的投标人的名次从第B+A名开始依次计列。</w:t>
            </w:r>
          </w:p>
          <w:p>
            <w:pPr>
              <w:ind w:firstLine="440" w:firstLineChars="200"/>
              <w:contextualSpacing/>
              <w:rPr>
                <w:rFonts w:ascii="Times New Roman" w:hAnsi="Times New Roman"/>
                <w:sz w:val="22"/>
                <w:szCs w:val="22"/>
                <w:highlight w:val="none"/>
              </w:rPr>
            </w:pPr>
            <w:r>
              <w:rPr>
                <w:rFonts w:hint="eastAsia" w:ascii="Times New Roman" w:hAnsi="Times New Roman"/>
                <w:sz w:val="22"/>
                <w:szCs w:val="22"/>
                <w:highlight w:val="none"/>
              </w:rPr>
              <w:t>排名在N名之后的投标人，如果商务技术文件评分达到总分9</w:t>
            </w:r>
            <w:r>
              <w:rPr>
                <w:rFonts w:hint="eastAsia" w:ascii="Times New Roman" w:hAnsi="Times New Roman"/>
                <w:sz w:val="22"/>
                <w:szCs w:val="22"/>
                <w:highlight w:val="none"/>
                <w:lang w:val="en-US" w:eastAsia="zh-CN"/>
              </w:rPr>
              <w:t>3</w:t>
            </w:r>
            <w:r>
              <w:rPr>
                <w:rFonts w:hint="eastAsia" w:ascii="Times New Roman" w:hAnsi="Times New Roman"/>
                <w:sz w:val="22"/>
                <w:szCs w:val="22"/>
                <w:highlight w:val="none"/>
              </w:rPr>
              <w:t>%及以上，该投标人的报价文件进入后续评审。</w:t>
            </w:r>
          </w:p>
          <w:p>
            <w:pPr>
              <w:ind w:firstLine="440" w:firstLineChars="200"/>
              <w:contextualSpacing/>
              <w:rPr>
                <w:rFonts w:hint="eastAsia" w:ascii="Times New Roman" w:hAnsi="Times New Roman"/>
                <w:sz w:val="22"/>
                <w:szCs w:val="22"/>
                <w:highlight w:val="none"/>
              </w:rPr>
            </w:pPr>
          </w:p>
        </w:tc>
      </w:tr>
    </w:tbl>
    <w:p>
      <w:pPr>
        <w:rPr>
          <w:rFonts w:ascii="Times New Roman" w:hAnsi="Times New Roman"/>
          <w:b/>
          <w:sz w:val="22"/>
          <w:szCs w:val="22"/>
          <w:highlight w:val="none"/>
        </w:rPr>
      </w:pPr>
      <w:r>
        <w:rPr>
          <w:rFonts w:ascii="Times New Roman" w:hAnsi="Times New Roman"/>
          <w:b/>
          <w:sz w:val="22"/>
          <w:szCs w:val="22"/>
          <w:highlight w:val="none"/>
        </w:rPr>
        <w:br w:type="page"/>
      </w:r>
    </w:p>
    <w:tbl>
      <w:tblPr>
        <w:tblStyle w:val="9"/>
        <w:tblW w:w="927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65"/>
        <w:gridCol w:w="1217"/>
        <w:gridCol w:w="1277"/>
        <w:gridCol w:w="652"/>
        <w:gridCol w:w="3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5285" w:type="dxa"/>
            <w:gridSpan w:val="5"/>
            <w:noWrap w:val="0"/>
            <w:vAlign w:val="center"/>
          </w:tcPr>
          <w:p>
            <w:pPr>
              <w:rPr>
                <w:rFonts w:ascii="Times New Roman" w:hAnsi="Times New Roman"/>
                <w:b/>
                <w:sz w:val="22"/>
                <w:szCs w:val="22"/>
                <w:highlight w:val="none"/>
              </w:rPr>
            </w:pPr>
            <w:r>
              <w:rPr>
                <w:rFonts w:hint="eastAsia" w:ascii="Times New Roman" w:hAnsi="Times New Roman"/>
                <w:b/>
                <w:sz w:val="22"/>
                <w:szCs w:val="22"/>
                <w:highlight w:val="none"/>
                <w:lang w:eastAsia="zh-CN"/>
              </w:rPr>
              <w:t>商务技术文件</w:t>
            </w:r>
            <w:r>
              <w:rPr>
                <w:rFonts w:ascii="Times New Roman" w:hAnsi="Times New Roman"/>
                <w:b/>
                <w:sz w:val="22"/>
                <w:szCs w:val="22"/>
                <w:highlight w:val="none"/>
              </w:rPr>
              <w:t>评分因素与权重分值</w:t>
            </w:r>
          </w:p>
        </w:tc>
        <w:tc>
          <w:tcPr>
            <w:tcW w:w="3988" w:type="dxa"/>
            <w:noWrap w:val="0"/>
            <w:vAlign w:val="center"/>
          </w:tcPr>
          <w:p>
            <w:pPr>
              <w:snapToGrid w:val="0"/>
              <w:jc w:val="center"/>
              <w:rPr>
                <w:rFonts w:ascii="Times New Roman" w:hAnsi="Times New Roman"/>
                <w:b/>
                <w:sz w:val="22"/>
                <w:szCs w:val="22"/>
                <w:highlight w:val="none"/>
              </w:rPr>
            </w:pPr>
            <w:r>
              <w:rPr>
                <w:rFonts w:ascii="Times New Roman" w:hAnsi="Times New Roman"/>
                <w:b/>
                <w:sz w:val="22"/>
                <w:szCs w:val="22"/>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 w:hRule="atLeast"/>
          <w:tblHeader/>
          <w:jc w:val="center"/>
        </w:trPr>
        <w:tc>
          <w:tcPr>
            <w:tcW w:w="774" w:type="dxa"/>
            <w:noWrap w:val="0"/>
            <w:vAlign w:val="center"/>
          </w:tcPr>
          <w:p>
            <w:pPr>
              <w:jc w:val="center"/>
              <w:rPr>
                <w:rFonts w:ascii="Times New Roman" w:hAnsi="Times New Roman"/>
                <w:b/>
                <w:sz w:val="22"/>
                <w:szCs w:val="22"/>
                <w:highlight w:val="none"/>
              </w:rPr>
            </w:pPr>
            <w:r>
              <w:rPr>
                <w:rFonts w:ascii="Times New Roman" w:hAnsi="Times New Roman"/>
                <w:b/>
                <w:sz w:val="22"/>
                <w:szCs w:val="22"/>
                <w:highlight w:val="none"/>
              </w:rPr>
              <w:t>条款号</w:t>
            </w:r>
          </w:p>
        </w:tc>
        <w:tc>
          <w:tcPr>
            <w:tcW w:w="1365" w:type="dxa"/>
            <w:noWrap w:val="0"/>
            <w:vAlign w:val="center"/>
          </w:tcPr>
          <w:p>
            <w:pPr>
              <w:jc w:val="center"/>
              <w:rPr>
                <w:rFonts w:ascii="Times New Roman" w:hAnsi="Times New Roman"/>
                <w:b/>
                <w:sz w:val="22"/>
                <w:szCs w:val="22"/>
                <w:highlight w:val="none"/>
              </w:rPr>
            </w:pPr>
            <w:r>
              <w:rPr>
                <w:rFonts w:ascii="Times New Roman" w:hAnsi="Times New Roman"/>
                <w:b/>
                <w:sz w:val="22"/>
                <w:szCs w:val="22"/>
                <w:highlight w:val="none"/>
              </w:rPr>
              <w:t>评分因素</w:t>
            </w:r>
          </w:p>
        </w:tc>
        <w:tc>
          <w:tcPr>
            <w:tcW w:w="1217" w:type="dxa"/>
            <w:noWrap w:val="0"/>
            <w:vAlign w:val="center"/>
          </w:tcPr>
          <w:p>
            <w:pPr>
              <w:snapToGrid w:val="0"/>
              <w:jc w:val="center"/>
              <w:rPr>
                <w:rFonts w:ascii="Times New Roman" w:hAnsi="Times New Roman"/>
                <w:b/>
                <w:sz w:val="22"/>
                <w:szCs w:val="22"/>
                <w:highlight w:val="none"/>
              </w:rPr>
            </w:pPr>
            <w:r>
              <w:rPr>
                <w:rFonts w:ascii="Times New Roman" w:hAnsi="Times New Roman"/>
                <w:b/>
                <w:sz w:val="22"/>
                <w:szCs w:val="22"/>
                <w:highlight w:val="none"/>
              </w:rPr>
              <w:t>评分因素权重分值</w:t>
            </w:r>
          </w:p>
        </w:tc>
        <w:tc>
          <w:tcPr>
            <w:tcW w:w="1277" w:type="dxa"/>
            <w:noWrap w:val="0"/>
            <w:vAlign w:val="center"/>
          </w:tcPr>
          <w:p>
            <w:pPr>
              <w:snapToGrid w:val="0"/>
              <w:jc w:val="center"/>
              <w:rPr>
                <w:rFonts w:ascii="Times New Roman" w:hAnsi="Times New Roman"/>
                <w:b/>
                <w:sz w:val="22"/>
                <w:szCs w:val="22"/>
                <w:highlight w:val="none"/>
              </w:rPr>
            </w:pPr>
            <w:r>
              <w:rPr>
                <w:rFonts w:ascii="Times New Roman" w:hAnsi="Times New Roman"/>
                <w:b/>
                <w:sz w:val="22"/>
                <w:szCs w:val="22"/>
                <w:highlight w:val="none"/>
              </w:rPr>
              <w:t>各评分因素细分项</w:t>
            </w:r>
          </w:p>
        </w:tc>
        <w:tc>
          <w:tcPr>
            <w:tcW w:w="652" w:type="dxa"/>
            <w:noWrap w:val="0"/>
            <w:vAlign w:val="center"/>
          </w:tcPr>
          <w:p>
            <w:pPr>
              <w:snapToGrid w:val="0"/>
              <w:jc w:val="center"/>
              <w:rPr>
                <w:rFonts w:ascii="Times New Roman" w:hAnsi="Times New Roman"/>
                <w:b/>
                <w:sz w:val="22"/>
                <w:szCs w:val="22"/>
                <w:highlight w:val="none"/>
              </w:rPr>
            </w:pPr>
            <w:r>
              <w:rPr>
                <w:rFonts w:ascii="Times New Roman" w:hAnsi="Times New Roman"/>
                <w:b/>
                <w:sz w:val="22"/>
                <w:szCs w:val="22"/>
                <w:highlight w:val="none"/>
              </w:rPr>
              <w:t>分值</w:t>
            </w:r>
          </w:p>
        </w:tc>
        <w:tc>
          <w:tcPr>
            <w:tcW w:w="3988" w:type="dxa"/>
            <w:noWrap w:val="0"/>
            <w:vAlign w:val="center"/>
          </w:tcPr>
          <w:p>
            <w:pPr>
              <w:snapToGrid w:val="0"/>
              <w:jc w:val="center"/>
              <w:rPr>
                <w:rFonts w:ascii="Times New Roman" w:hAnsi="Times New Roman"/>
                <w:b/>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74" w:type="dxa"/>
            <w:vMerge w:val="restart"/>
            <w:noWrap w:val="0"/>
            <w:vAlign w:val="center"/>
          </w:tcPr>
          <w:p>
            <w:pPr>
              <w:jc w:val="center"/>
              <w:rPr>
                <w:rFonts w:ascii="Times New Roman" w:hAnsi="Times New Roman"/>
                <w:sz w:val="22"/>
                <w:szCs w:val="22"/>
                <w:highlight w:val="none"/>
              </w:rPr>
            </w:pPr>
            <w:r>
              <w:rPr>
                <w:rFonts w:ascii="Times New Roman" w:hAnsi="Times New Roman"/>
                <w:sz w:val="22"/>
                <w:szCs w:val="22"/>
                <w:highlight w:val="none"/>
              </w:rPr>
              <w:t>2.2.2(</w:t>
            </w:r>
            <w:r>
              <w:rPr>
                <w:rFonts w:hint="eastAsia" w:ascii="Times New Roman" w:hAnsi="Times New Roman"/>
                <w:sz w:val="22"/>
                <w:szCs w:val="22"/>
                <w:highlight w:val="none"/>
                <w:lang w:val="en-US" w:eastAsia="zh-CN"/>
              </w:rPr>
              <w:t>1</w:t>
            </w:r>
            <w:r>
              <w:rPr>
                <w:rFonts w:ascii="Times New Roman" w:hAnsi="Times New Roman"/>
                <w:sz w:val="22"/>
                <w:szCs w:val="22"/>
                <w:highlight w:val="none"/>
              </w:rPr>
              <w:t>)</w:t>
            </w:r>
          </w:p>
        </w:tc>
        <w:tc>
          <w:tcPr>
            <w:tcW w:w="1365" w:type="dxa"/>
            <w:vMerge w:val="restart"/>
            <w:noWrap w:val="0"/>
            <w:vAlign w:val="center"/>
          </w:tcPr>
          <w:p>
            <w:pPr>
              <w:jc w:val="center"/>
              <w:rPr>
                <w:rFonts w:hint="eastAsia" w:ascii="Times New Roman" w:hAnsi="Times New Roman"/>
                <w:sz w:val="22"/>
                <w:szCs w:val="22"/>
                <w:highlight w:val="none"/>
              </w:rPr>
            </w:pPr>
            <w:r>
              <w:rPr>
                <w:rFonts w:hint="eastAsia" w:ascii="宋体" w:hAnsi="宋体"/>
                <w:color w:val="auto"/>
                <w:szCs w:val="21"/>
                <w:highlight w:val="none"/>
                <w:lang w:val="en-US" w:eastAsia="zh-CN"/>
              </w:rPr>
              <w:t>服务方案</w:t>
            </w:r>
          </w:p>
        </w:tc>
        <w:tc>
          <w:tcPr>
            <w:tcW w:w="1217" w:type="dxa"/>
            <w:vMerge w:val="restart"/>
            <w:noWrap w:val="0"/>
            <w:vAlign w:val="center"/>
          </w:tcPr>
          <w:p>
            <w:pPr>
              <w:jc w:val="center"/>
              <w:rPr>
                <w:rFonts w:ascii="Times New Roman" w:hAnsi="Times New Roman" w:eastAsia="Times New Roman"/>
                <w:sz w:val="22"/>
                <w:szCs w:val="22"/>
                <w:highlight w:val="none"/>
                <w:u w:val="single"/>
              </w:rPr>
            </w:pPr>
            <w:r>
              <w:rPr>
                <w:rFonts w:hint="eastAsia" w:ascii="Times New Roman" w:hAnsi="Times New Roman"/>
                <w:sz w:val="22"/>
                <w:szCs w:val="22"/>
                <w:highlight w:val="none"/>
                <w:u w:val="single"/>
                <w:lang w:val="en-US" w:eastAsia="zh-CN"/>
              </w:rPr>
              <w:t>1</w:t>
            </w:r>
            <w:r>
              <w:rPr>
                <w:rFonts w:hint="eastAsia" w:ascii="Times New Roman" w:hAnsi="Times New Roman"/>
                <w:sz w:val="22"/>
                <w:szCs w:val="22"/>
                <w:highlight w:val="none"/>
                <w:u w:val="single"/>
              </w:rPr>
              <w:t>5</w:t>
            </w:r>
            <w:r>
              <w:rPr>
                <w:rFonts w:ascii="Times New Roman" w:hAnsi="Times New Roman"/>
                <w:sz w:val="22"/>
                <w:szCs w:val="22"/>
                <w:highlight w:val="none"/>
              </w:rPr>
              <w:t>分</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59" w:leftChars="28" w:firstLine="210" w:firstLineChars="100"/>
              <w:textAlignment w:val="auto"/>
              <w:rPr>
                <w:rFonts w:ascii="Times New Roman" w:hAnsi="Times New Roman"/>
                <w:sz w:val="22"/>
                <w:szCs w:val="22"/>
                <w:highlight w:val="none"/>
              </w:rPr>
            </w:pPr>
            <w:r>
              <w:rPr>
                <w:rFonts w:hint="eastAsia" w:ascii="宋体" w:hAnsi="宋体"/>
                <w:color w:val="auto"/>
                <w:highlight w:val="none"/>
                <w:lang w:eastAsia="zh-CN"/>
              </w:rPr>
              <w:t>机电系统维护巡检方案</w:t>
            </w:r>
          </w:p>
        </w:tc>
        <w:tc>
          <w:tcPr>
            <w:tcW w:w="652" w:type="dxa"/>
            <w:noWrap w:val="0"/>
            <w:vAlign w:val="center"/>
          </w:tcPr>
          <w:p>
            <w:pPr>
              <w:spacing w:line="360" w:lineRule="auto"/>
              <w:ind w:left="59" w:leftChars="28"/>
              <w:rPr>
                <w:rFonts w:ascii="Times New Roman" w:hAnsi="Times New Roman"/>
                <w:sz w:val="22"/>
                <w:szCs w:val="22"/>
                <w:highlight w:val="none"/>
              </w:rPr>
            </w:pPr>
            <w:r>
              <w:rPr>
                <w:rFonts w:hint="eastAsia" w:ascii="宋体" w:hAnsi="宋体"/>
                <w:color w:val="auto"/>
                <w:highlight w:val="none"/>
                <w:lang w:val="en-US" w:eastAsia="zh-CN"/>
              </w:rPr>
              <w:t>11</w:t>
            </w:r>
            <w:r>
              <w:rPr>
                <w:rFonts w:hint="eastAsia" w:ascii="宋体" w:hAnsi="宋体"/>
                <w:color w:val="auto"/>
                <w:highlight w:val="none"/>
              </w:rPr>
              <w:t>分</w:t>
            </w:r>
          </w:p>
        </w:tc>
        <w:tc>
          <w:tcPr>
            <w:tcW w:w="39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59" w:leftChars="28" w:firstLine="210" w:firstLineChars="100"/>
              <w:textAlignment w:val="auto"/>
              <w:rPr>
                <w:rFonts w:ascii="Times New Roman" w:hAnsi="Times New Roman"/>
                <w:sz w:val="22"/>
                <w:szCs w:val="22"/>
                <w:highlight w:val="none"/>
              </w:rPr>
            </w:pPr>
            <w:r>
              <w:rPr>
                <w:rFonts w:hint="eastAsia" w:ascii="宋体" w:hAnsi="宋体"/>
                <w:color w:val="auto"/>
                <w:highlight w:val="none"/>
                <w:lang w:eastAsia="zh-CN"/>
              </w:rPr>
              <w:t>巡检方案满足基本要求，得基本分</w:t>
            </w:r>
            <w:r>
              <w:rPr>
                <w:rFonts w:hint="eastAsia" w:ascii="宋体" w:hAnsi="宋体"/>
                <w:color w:val="auto"/>
                <w:highlight w:val="none"/>
                <w:lang w:val="en-US" w:eastAsia="zh-CN"/>
              </w:rPr>
              <w:t>6.6分；根据巡检方案（包括主要设备的除尘保养标准、监控系统运行监测方案、网络环境检测方案等）的合理性、针对性、完整性、可行性加0-4.4分，加至11分为止。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74" w:type="dxa"/>
            <w:vMerge w:val="continue"/>
            <w:noWrap w:val="0"/>
            <w:vAlign w:val="center"/>
          </w:tcPr>
          <w:p>
            <w:pPr>
              <w:jc w:val="center"/>
              <w:rPr>
                <w:rFonts w:ascii="Times New Roman" w:hAnsi="Times New Roman"/>
                <w:sz w:val="22"/>
                <w:szCs w:val="22"/>
                <w:highlight w:val="none"/>
              </w:rPr>
            </w:pPr>
          </w:p>
        </w:tc>
        <w:tc>
          <w:tcPr>
            <w:tcW w:w="1365" w:type="dxa"/>
            <w:vMerge w:val="continue"/>
            <w:noWrap w:val="0"/>
            <w:vAlign w:val="center"/>
          </w:tcPr>
          <w:p>
            <w:pPr>
              <w:jc w:val="center"/>
              <w:rPr>
                <w:rFonts w:hint="eastAsia" w:ascii="宋体" w:hAnsi="宋体"/>
                <w:color w:val="auto"/>
                <w:szCs w:val="21"/>
                <w:highlight w:val="none"/>
                <w:lang w:val="en-US" w:eastAsia="zh-CN"/>
              </w:rPr>
            </w:pPr>
          </w:p>
        </w:tc>
        <w:tc>
          <w:tcPr>
            <w:tcW w:w="1217" w:type="dxa"/>
            <w:vMerge w:val="continue"/>
            <w:noWrap w:val="0"/>
            <w:vAlign w:val="center"/>
          </w:tcPr>
          <w:p>
            <w:pPr>
              <w:jc w:val="center"/>
              <w:rPr>
                <w:rFonts w:hint="eastAsia" w:ascii="Times New Roman" w:hAnsi="Times New Roman"/>
                <w:sz w:val="22"/>
                <w:szCs w:val="22"/>
                <w:highlight w:val="none"/>
                <w:u w:val="single"/>
                <w:lang w:val="en-US" w:eastAsia="zh-CN"/>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59" w:leftChars="28" w:firstLine="210" w:firstLineChars="100"/>
              <w:textAlignment w:val="auto"/>
              <w:rPr>
                <w:rFonts w:ascii="Times New Roman" w:hAnsi="Times New Roman"/>
                <w:sz w:val="22"/>
                <w:szCs w:val="22"/>
                <w:highlight w:val="none"/>
              </w:rPr>
            </w:pPr>
            <w:r>
              <w:rPr>
                <w:rFonts w:hint="eastAsia" w:ascii="宋体" w:hAnsi="宋体"/>
                <w:color w:val="auto"/>
                <w:highlight w:val="none"/>
              </w:rPr>
              <w:t>机电系统故障、事故等应急处理方案</w:t>
            </w:r>
          </w:p>
        </w:tc>
        <w:tc>
          <w:tcPr>
            <w:tcW w:w="652" w:type="dxa"/>
            <w:noWrap w:val="0"/>
            <w:vAlign w:val="center"/>
          </w:tcPr>
          <w:p>
            <w:pPr>
              <w:spacing w:line="360" w:lineRule="auto"/>
              <w:ind w:left="59" w:leftChars="28"/>
              <w:rPr>
                <w:rFonts w:hint="eastAsia" w:ascii="Times New Roman" w:hAnsi="Times New Roman"/>
                <w:sz w:val="22"/>
                <w:szCs w:val="22"/>
                <w:highlight w:val="none"/>
                <w:u w:val="single"/>
              </w:rPr>
            </w:pPr>
            <w:r>
              <w:rPr>
                <w:rFonts w:hint="eastAsia" w:ascii="宋体" w:hAnsi="宋体"/>
                <w:color w:val="auto"/>
                <w:highlight w:val="none"/>
              </w:rPr>
              <w:t>4分</w:t>
            </w:r>
          </w:p>
        </w:tc>
        <w:tc>
          <w:tcPr>
            <w:tcW w:w="39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59" w:leftChars="28" w:firstLine="210" w:firstLineChars="100"/>
              <w:textAlignment w:val="auto"/>
              <w:rPr>
                <w:rFonts w:ascii="Times New Roman" w:hAnsi="Times New Roman"/>
                <w:sz w:val="22"/>
                <w:szCs w:val="22"/>
                <w:highlight w:val="none"/>
              </w:rPr>
            </w:pPr>
            <w:r>
              <w:rPr>
                <w:rFonts w:hint="eastAsia" w:ascii="宋体" w:hAnsi="宋体"/>
                <w:color w:val="auto"/>
                <w:highlight w:val="none"/>
              </w:rPr>
              <w:t>故障、事故等应急处理方案满足基本要求，得基本分2.4分；</w:t>
            </w:r>
            <w:r>
              <w:rPr>
                <w:rFonts w:hint="eastAsia" w:ascii="宋体" w:hAnsi="宋体"/>
                <w:color w:val="auto"/>
                <w:highlight w:val="none"/>
                <w:lang w:eastAsia="zh-CN"/>
              </w:rPr>
              <w:t>根据</w:t>
            </w:r>
            <w:r>
              <w:rPr>
                <w:rFonts w:hint="eastAsia" w:ascii="宋体" w:hAnsi="宋体"/>
                <w:color w:val="auto"/>
                <w:highlight w:val="none"/>
              </w:rPr>
              <w:t>应急处理指导</w:t>
            </w:r>
            <w:r>
              <w:rPr>
                <w:rFonts w:hint="eastAsia" w:ascii="宋体" w:hAnsi="宋体"/>
                <w:color w:val="auto"/>
                <w:highlight w:val="none"/>
                <w:lang w:eastAsia="zh-CN"/>
              </w:rPr>
              <w:t>方案</w:t>
            </w:r>
            <w:r>
              <w:rPr>
                <w:rFonts w:hint="eastAsia" w:ascii="宋体" w:hAnsi="宋体"/>
                <w:color w:val="auto"/>
                <w:highlight w:val="none"/>
              </w:rPr>
              <w:t>合理</w:t>
            </w:r>
            <w:r>
              <w:rPr>
                <w:rFonts w:hint="eastAsia" w:ascii="宋体" w:hAnsi="宋体"/>
                <w:color w:val="auto"/>
                <w:highlight w:val="none"/>
                <w:lang w:eastAsia="zh-CN"/>
              </w:rPr>
              <w:t>性</w:t>
            </w:r>
            <w:r>
              <w:rPr>
                <w:rFonts w:hint="eastAsia" w:ascii="宋体" w:hAnsi="宋体"/>
                <w:color w:val="auto"/>
                <w:highlight w:val="none"/>
              </w:rPr>
              <w:t>、思路清晰</w:t>
            </w:r>
            <w:r>
              <w:rPr>
                <w:rFonts w:hint="eastAsia" w:ascii="宋体" w:hAnsi="宋体"/>
                <w:color w:val="auto"/>
                <w:highlight w:val="none"/>
                <w:lang w:eastAsia="zh-CN"/>
              </w:rPr>
              <w:t>度</w:t>
            </w:r>
            <w:r>
              <w:rPr>
                <w:rFonts w:hint="eastAsia" w:ascii="宋体" w:hAnsi="宋体"/>
                <w:color w:val="auto"/>
                <w:highlight w:val="none"/>
              </w:rPr>
              <w:t>加0-1.6分，加至4分为止。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774" w:type="dxa"/>
            <w:noWrap w:val="0"/>
            <w:vAlign w:val="center"/>
          </w:tcPr>
          <w:p>
            <w:pPr>
              <w:jc w:val="center"/>
              <w:rPr>
                <w:rFonts w:ascii="Times New Roman" w:hAnsi="Times New Roman"/>
                <w:sz w:val="22"/>
                <w:szCs w:val="22"/>
                <w:highlight w:val="none"/>
              </w:rPr>
            </w:pPr>
            <w:r>
              <w:rPr>
                <w:rFonts w:ascii="Times New Roman" w:hAnsi="Times New Roman"/>
                <w:sz w:val="22"/>
                <w:szCs w:val="22"/>
                <w:highlight w:val="none"/>
              </w:rPr>
              <w:t>2.2.2(</w:t>
            </w:r>
            <w:r>
              <w:rPr>
                <w:rFonts w:hint="eastAsia" w:ascii="Times New Roman" w:hAnsi="Times New Roman"/>
                <w:sz w:val="22"/>
                <w:szCs w:val="22"/>
                <w:highlight w:val="none"/>
                <w:lang w:val="en-US" w:eastAsia="zh-CN"/>
              </w:rPr>
              <w:t>2</w:t>
            </w:r>
            <w:r>
              <w:rPr>
                <w:rFonts w:ascii="Times New Roman" w:hAnsi="Times New Roman"/>
                <w:sz w:val="22"/>
                <w:szCs w:val="22"/>
                <w:highlight w:val="none"/>
              </w:rPr>
              <w:t>)</w:t>
            </w:r>
          </w:p>
        </w:tc>
        <w:tc>
          <w:tcPr>
            <w:tcW w:w="1365" w:type="dxa"/>
            <w:noWrap w:val="0"/>
            <w:vAlign w:val="center"/>
          </w:tcPr>
          <w:p>
            <w:pPr>
              <w:jc w:val="center"/>
              <w:rPr>
                <w:rFonts w:hint="eastAsia" w:ascii="宋体" w:hAnsi="宋体"/>
                <w:color w:val="auto"/>
                <w:szCs w:val="21"/>
                <w:highlight w:val="none"/>
                <w:lang w:val="en-US" w:eastAsia="zh-CN"/>
              </w:rPr>
            </w:pPr>
            <w:r>
              <w:rPr>
                <w:rFonts w:hint="eastAsia"/>
                <w:color w:val="auto"/>
                <w:szCs w:val="21"/>
                <w:highlight w:val="none"/>
                <w:lang w:val="en-US" w:eastAsia="zh-CN"/>
              </w:rPr>
              <w:t>项目经理</w:t>
            </w:r>
          </w:p>
        </w:tc>
        <w:tc>
          <w:tcPr>
            <w:tcW w:w="1217" w:type="dxa"/>
            <w:noWrap w:val="0"/>
            <w:vAlign w:val="center"/>
          </w:tcPr>
          <w:p>
            <w:pPr>
              <w:jc w:val="center"/>
              <w:rPr>
                <w:rFonts w:hint="default" w:ascii="Times New Roman" w:hAnsi="Times New Roman"/>
                <w:sz w:val="22"/>
                <w:szCs w:val="22"/>
                <w:highlight w:val="none"/>
                <w:u w:val="single"/>
                <w:lang w:val="en-US" w:eastAsia="zh-CN"/>
              </w:rPr>
            </w:pPr>
            <w:r>
              <w:rPr>
                <w:rFonts w:hint="eastAsia" w:ascii="Times New Roman" w:hAnsi="Times New Roman"/>
                <w:sz w:val="22"/>
                <w:szCs w:val="22"/>
                <w:highlight w:val="none"/>
                <w:u w:val="single"/>
                <w:lang w:val="en-US" w:eastAsia="zh-CN"/>
              </w:rPr>
              <w:t>10</w:t>
            </w:r>
            <w:r>
              <w:rPr>
                <w:rFonts w:hint="eastAsia" w:ascii="Times New Roman" w:hAnsi="Times New Roman"/>
                <w:sz w:val="22"/>
                <w:szCs w:val="22"/>
                <w:highlight w:val="none"/>
                <w:u w:val="none"/>
                <w:lang w:val="en-US" w:eastAsia="zh-CN"/>
              </w:rPr>
              <w:t>分</w:t>
            </w:r>
          </w:p>
        </w:tc>
        <w:tc>
          <w:tcPr>
            <w:tcW w:w="1277" w:type="dxa"/>
            <w:noWrap w:val="0"/>
            <w:vAlign w:val="center"/>
          </w:tcPr>
          <w:p>
            <w:pPr>
              <w:spacing w:line="360" w:lineRule="atLeast"/>
              <w:jc w:val="center"/>
              <w:rPr>
                <w:rFonts w:hint="eastAsia" w:ascii="宋体" w:hAnsi="宋体"/>
                <w:color w:val="auto"/>
                <w:highlight w:val="none"/>
              </w:rPr>
            </w:pPr>
            <w:r>
              <w:rPr>
                <w:rFonts w:hint="eastAsia" w:ascii="宋体" w:hAnsi="宋体"/>
                <w:color w:val="auto"/>
                <w:szCs w:val="21"/>
                <w:highlight w:val="none"/>
                <w:lang w:eastAsia="zh-CN"/>
              </w:rPr>
              <w:t>项目经理</w:t>
            </w:r>
          </w:p>
        </w:tc>
        <w:tc>
          <w:tcPr>
            <w:tcW w:w="652" w:type="dxa"/>
            <w:noWrap w:val="0"/>
            <w:vAlign w:val="center"/>
          </w:tcPr>
          <w:p>
            <w:pPr>
              <w:spacing w:line="360" w:lineRule="atLeast"/>
              <w:jc w:val="center"/>
              <w:rPr>
                <w:rFonts w:hint="eastAsia" w:ascii="宋体" w:hAnsi="宋体"/>
                <w:color w:val="auto"/>
                <w:highlight w:val="none"/>
              </w:rPr>
            </w:pPr>
            <w:r>
              <w:rPr>
                <w:rFonts w:hint="eastAsia" w:ascii="宋体" w:hAnsi="宋体"/>
                <w:color w:val="auto"/>
                <w:szCs w:val="21"/>
                <w:highlight w:val="none"/>
                <w:lang w:val="en-US" w:eastAsia="zh-CN"/>
              </w:rPr>
              <w:t>10分</w:t>
            </w:r>
          </w:p>
        </w:tc>
        <w:tc>
          <w:tcPr>
            <w:tcW w:w="398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ascii="宋体" w:hAnsi="宋体"/>
                <w:color w:val="auto"/>
                <w:kern w:val="0"/>
                <w:highlight w:val="none"/>
              </w:rPr>
            </w:pPr>
            <w:r>
              <w:rPr>
                <w:rFonts w:hint="eastAsia" w:ascii="宋体" w:hAnsi="宋体"/>
                <w:color w:val="auto"/>
                <w:highlight w:val="none"/>
              </w:rPr>
              <w:t>满足</w:t>
            </w:r>
            <w:r>
              <w:rPr>
                <w:rFonts w:hint="eastAsia" w:ascii="宋体" w:hAnsi="宋体"/>
                <w:color w:val="auto"/>
                <w:highlight w:val="none"/>
                <w:lang w:eastAsia="zh-CN"/>
              </w:rPr>
              <w:t>资格审查</w:t>
            </w:r>
            <w:r>
              <w:rPr>
                <w:rFonts w:hint="eastAsia" w:ascii="宋体" w:hAnsi="宋体"/>
                <w:color w:val="auto"/>
                <w:highlight w:val="none"/>
              </w:rPr>
              <w:t>条件得</w:t>
            </w:r>
            <w:r>
              <w:rPr>
                <w:rFonts w:hint="eastAsia" w:ascii="宋体" w:hAnsi="宋体"/>
                <w:color w:val="auto"/>
                <w:highlight w:val="none"/>
                <w:lang w:val="en-US" w:eastAsia="zh-CN"/>
              </w:rPr>
              <w:t>6</w:t>
            </w:r>
            <w:r>
              <w:rPr>
                <w:rFonts w:hint="eastAsia" w:ascii="宋体" w:hAnsi="宋体"/>
                <w:color w:val="auto"/>
                <w:highlight w:val="none"/>
              </w:rPr>
              <w:t>分</w:t>
            </w:r>
            <w:r>
              <w:rPr>
                <w:rFonts w:hint="eastAsia" w:ascii="宋体" w:hAnsi="宋体"/>
                <w:color w:val="auto"/>
                <w:kern w:val="0"/>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b w:val="0"/>
                <w:bCs w:val="0"/>
                <w:color w:val="auto"/>
                <w:kern w:val="0"/>
                <w:highlight w:val="none"/>
                <w:lang w:val="en-US" w:eastAsia="zh-CN"/>
              </w:rPr>
            </w:pPr>
            <w:r>
              <w:rPr>
                <w:rFonts w:hint="eastAsia" w:ascii="宋体" w:hAnsi="宋体"/>
                <w:b w:val="0"/>
                <w:bCs w:val="0"/>
                <w:color w:val="auto"/>
                <w:kern w:val="0"/>
                <w:highlight w:val="none"/>
              </w:rPr>
              <w:t>在满足资格条件基础上，</w:t>
            </w:r>
            <w:r>
              <w:rPr>
                <w:rFonts w:hint="eastAsia" w:ascii="宋体" w:hAnsi="宋体"/>
                <w:b w:val="0"/>
                <w:bCs w:val="0"/>
                <w:color w:val="auto"/>
                <w:kern w:val="0"/>
                <w:highlight w:val="none"/>
                <w:lang w:eastAsia="zh-CN"/>
              </w:rPr>
              <w:t>项目经理每增加一个机电系统（须含通信、监控系统）维护维修项目业绩的加</w:t>
            </w:r>
            <w:r>
              <w:rPr>
                <w:rFonts w:hint="eastAsia" w:ascii="宋体" w:hAnsi="宋体"/>
                <w:b w:val="0"/>
                <w:bCs w:val="0"/>
                <w:color w:val="auto"/>
                <w:kern w:val="0"/>
                <w:highlight w:val="none"/>
                <w:lang w:val="en-US" w:eastAsia="zh-CN"/>
              </w:rPr>
              <w:t>2分，最多加4分。</w:t>
            </w:r>
          </w:p>
          <w:p>
            <w:pPr>
              <w:keepNext w:val="0"/>
              <w:keepLines w:val="0"/>
              <w:pageBreakBefore w:val="0"/>
              <w:widowControl w:val="0"/>
              <w:numPr>
                <w:ilvl w:val="0"/>
                <w:numId w:val="0"/>
              </w:numPr>
              <w:kinsoku/>
              <w:wordWrap/>
              <w:overflowPunct/>
              <w:topLinePunct w:val="0"/>
              <w:autoSpaceDE/>
              <w:autoSpaceDN/>
              <w:bidi w:val="0"/>
              <w:adjustRightInd/>
              <w:snapToGrid/>
              <w:spacing w:before="167" w:beforeLines="50" w:line="240" w:lineRule="auto"/>
              <w:ind w:left="0" w:leftChars="0" w:firstLine="0" w:firstLineChars="0"/>
              <w:textAlignment w:val="auto"/>
              <w:rPr>
                <w:rFonts w:hint="eastAsia" w:ascii="宋体" w:hAnsi="宋体"/>
                <w:color w:val="auto"/>
                <w:highlight w:val="none"/>
              </w:rPr>
            </w:pPr>
            <w:r>
              <w:rPr>
                <w:rFonts w:hint="eastAsia"/>
                <w:b w:val="0"/>
                <w:bCs w:val="0"/>
                <w:color w:val="auto"/>
                <w:kern w:val="0"/>
                <w:highlight w:val="none"/>
                <w:lang w:val="en-US" w:eastAsia="zh-CN"/>
              </w:rPr>
              <w:t>注：</w:t>
            </w:r>
            <w:r>
              <w:rPr>
                <w:rFonts w:hint="eastAsia"/>
                <w:sz w:val="21"/>
                <w:szCs w:val="21"/>
                <w:highlight w:val="none"/>
                <w:lang w:val="en-US" w:eastAsia="zh-CN"/>
              </w:rPr>
              <w:t>如一个机电系统维护项目业绩的合同协议书中无法同时体现</w:t>
            </w:r>
            <w:r>
              <w:rPr>
                <w:rFonts w:hint="eastAsia" w:ascii="Times New Roman" w:hAnsi="Times New Roman"/>
                <w:sz w:val="21"/>
                <w:szCs w:val="21"/>
                <w:highlight w:val="none"/>
              </w:rPr>
              <w:t>通信、监控系统相关内容的</w:t>
            </w:r>
            <w:r>
              <w:rPr>
                <w:rFonts w:hint="eastAsia"/>
                <w:sz w:val="21"/>
                <w:szCs w:val="21"/>
                <w:highlight w:val="none"/>
                <w:lang w:eastAsia="zh-CN"/>
              </w:rPr>
              <w:t>，允许提供两个</w:t>
            </w:r>
            <w:r>
              <w:rPr>
                <w:rFonts w:hint="eastAsia" w:ascii="宋体" w:hAnsi="宋体"/>
                <w:color w:val="auto"/>
                <w:highlight w:val="none"/>
              </w:rPr>
              <w:t>机电系统维护</w:t>
            </w:r>
            <w:r>
              <w:rPr>
                <w:rFonts w:hint="eastAsia" w:ascii="宋体" w:hAnsi="宋体"/>
                <w:color w:val="auto"/>
                <w:highlight w:val="none"/>
                <w:lang w:eastAsia="zh-CN"/>
              </w:rPr>
              <w:t>维修</w:t>
            </w:r>
            <w:r>
              <w:rPr>
                <w:rFonts w:hint="eastAsia" w:ascii="宋体" w:hAnsi="宋体"/>
                <w:color w:val="auto"/>
                <w:highlight w:val="none"/>
              </w:rPr>
              <w:t>的业绩</w:t>
            </w:r>
            <w:r>
              <w:rPr>
                <w:rFonts w:hint="eastAsia" w:ascii="宋体" w:hAnsi="宋体"/>
                <w:color w:val="auto"/>
                <w:highlight w:val="none"/>
                <w:lang w:eastAsia="zh-CN"/>
              </w:rPr>
              <w:t>（分别含有通信系统和监控系统），此两个项目业绩视同为一个满足资格审查要求和项目经理业绩加分项的业绩。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774" w:type="dxa"/>
            <w:noWrap w:val="0"/>
            <w:vAlign w:val="center"/>
          </w:tcPr>
          <w:p>
            <w:pPr>
              <w:jc w:val="center"/>
              <w:rPr>
                <w:rFonts w:ascii="Times New Roman" w:hAnsi="Times New Roman"/>
                <w:sz w:val="22"/>
                <w:szCs w:val="22"/>
                <w:highlight w:val="none"/>
              </w:rPr>
            </w:pPr>
            <w:r>
              <w:rPr>
                <w:rFonts w:ascii="Times New Roman" w:hAnsi="Times New Roman"/>
                <w:sz w:val="22"/>
                <w:szCs w:val="22"/>
                <w:highlight w:val="none"/>
              </w:rPr>
              <w:t>2.2.2(3)</w:t>
            </w:r>
          </w:p>
        </w:tc>
        <w:tc>
          <w:tcPr>
            <w:tcW w:w="1365" w:type="dxa"/>
            <w:noWrap w:val="0"/>
            <w:vAlign w:val="center"/>
          </w:tcPr>
          <w:p>
            <w:pPr>
              <w:jc w:val="center"/>
              <w:rPr>
                <w:rFonts w:hint="eastAsia" w:eastAsia="宋体"/>
                <w:sz w:val="22"/>
                <w:szCs w:val="22"/>
                <w:highlight w:val="none"/>
                <w:lang w:eastAsia="zh-CN"/>
              </w:rPr>
            </w:pPr>
            <w:r>
              <w:rPr>
                <w:rFonts w:hint="eastAsia" w:ascii="Times New Roman" w:hAnsi="Times New Roman"/>
                <w:sz w:val="22"/>
                <w:szCs w:val="22"/>
                <w:highlight w:val="none"/>
                <w:lang w:eastAsia="zh-CN"/>
              </w:rPr>
              <w:t>项目业绩</w:t>
            </w:r>
          </w:p>
        </w:tc>
        <w:tc>
          <w:tcPr>
            <w:tcW w:w="1217" w:type="dxa"/>
            <w:noWrap w:val="0"/>
            <w:vAlign w:val="center"/>
          </w:tcPr>
          <w:p>
            <w:pPr>
              <w:jc w:val="center"/>
              <w:rPr>
                <w:rFonts w:hint="eastAsia" w:ascii="Times New Roman" w:hAnsi="Times New Roman"/>
                <w:sz w:val="22"/>
                <w:szCs w:val="22"/>
                <w:highlight w:val="none"/>
                <w:u w:val="single"/>
              </w:rPr>
            </w:pPr>
            <w:r>
              <w:rPr>
                <w:rFonts w:hint="eastAsia" w:ascii="Times New Roman" w:hAnsi="Times New Roman"/>
                <w:sz w:val="22"/>
                <w:szCs w:val="22"/>
                <w:highlight w:val="none"/>
                <w:u w:val="single"/>
                <w:lang w:val="en-US" w:eastAsia="zh-CN"/>
              </w:rPr>
              <w:t>1</w:t>
            </w:r>
            <w:r>
              <w:rPr>
                <w:rFonts w:hint="eastAsia" w:ascii="Times New Roman" w:hAnsi="Times New Roman"/>
                <w:sz w:val="22"/>
                <w:szCs w:val="22"/>
                <w:highlight w:val="none"/>
                <w:u w:val="single"/>
              </w:rPr>
              <w:t>5</w:t>
            </w:r>
            <w:r>
              <w:rPr>
                <w:rFonts w:ascii="Times New Roman" w:hAnsi="Times New Roman"/>
                <w:sz w:val="22"/>
                <w:szCs w:val="22"/>
                <w:highlight w:val="none"/>
              </w:rPr>
              <w:t>分</w:t>
            </w:r>
          </w:p>
        </w:tc>
        <w:tc>
          <w:tcPr>
            <w:tcW w:w="1277" w:type="dxa"/>
            <w:noWrap w:val="0"/>
            <w:vAlign w:val="center"/>
          </w:tcPr>
          <w:p>
            <w:pPr>
              <w:jc w:val="center"/>
              <w:rPr>
                <w:rFonts w:hint="eastAsia" w:ascii="Times New Roman" w:hAnsi="Times New Roman" w:eastAsia="宋体"/>
                <w:sz w:val="22"/>
                <w:szCs w:val="22"/>
                <w:highlight w:val="none"/>
                <w:lang w:eastAsia="zh-CN"/>
              </w:rPr>
            </w:pPr>
            <w:r>
              <w:rPr>
                <w:rFonts w:hint="eastAsia" w:ascii="Times New Roman" w:hAnsi="Times New Roman"/>
                <w:sz w:val="22"/>
                <w:szCs w:val="22"/>
                <w:highlight w:val="none"/>
                <w:lang w:eastAsia="zh-CN"/>
              </w:rPr>
              <w:t>项目业绩</w:t>
            </w:r>
          </w:p>
        </w:tc>
        <w:tc>
          <w:tcPr>
            <w:tcW w:w="652" w:type="dxa"/>
            <w:noWrap w:val="0"/>
            <w:vAlign w:val="center"/>
          </w:tcPr>
          <w:p>
            <w:pPr>
              <w:jc w:val="center"/>
              <w:rPr>
                <w:rFonts w:hint="eastAsia" w:ascii="Times New Roman" w:hAnsi="Times New Roman"/>
                <w:sz w:val="22"/>
                <w:szCs w:val="22"/>
                <w:highlight w:val="none"/>
                <w:u w:val="single"/>
              </w:rPr>
            </w:pPr>
            <w:r>
              <w:rPr>
                <w:rFonts w:hint="eastAsia" w:ascii="Times New Roman" w:hAnsi="Times New Roman"/>
                <w:sz w:val="22"/>
                <w:szCs w:val="22"/>
                <w:highlight w:val="none"/>
                <w:u w:val="single"/>
                <w:lang w:val="en-US" w:eastAsia="zh-CN"/>
              </w:rPr>
              <w:t>1</w:t>
            </w:r>
            <w:r>
              <w:rPr>
                <w:rFonts w:hint="eastAsia" w:ascii="Times New Roman" w:hAnsi="Times New Roman"/>
                <w:sz w:val="22"/>
                <w:szCs w:val="22"/>
                <w:highlight w:val="none"/>
                <w:u w:val="single"/>
              </w:rPr>
              <w:t>5</w:t>
            </w:r>
            <w:r>
              <w:rPr>
                <w:rFonts w:ascii="Times New Roman" w:hAnsi="Times New Roman"/>
                <w:sz w:val="22"/>
                <w:szCs w:val="22"/>
                <w:highlight w:val="none"/>
              </w:rPr>
              <w:t>分</w:t>
            </w:r>
          </w:p>
        </w:tc>
        <w:tc>
          <w:tcPr>
            <w:tcW w:w="39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ascii="Times New Roman" w:hAnsi="Times New Roman"/>
                <w:kern w:val="2"/>
                <w:sz w:val="21"/>
                <w:szCs w:val="21"/>
                <w:highlight w:val="none"/>
                <w:lang w:val="en-US" w:eastAsia="zh-CN" w:bidi="ar-SA"/>
              </w:rPr>
            </w:pPr>
            <w:r>
              <w:rPr>
                <w:rFonts w:hint="eastAsia" w:ascii="Times New Roman" w:hAnsi="Times New Roman"/>
                <w:kern w:val="2"/>
                <w:sz w:val="21"/>
                <w:szCs w:val="21"/>
                <w:highlight w:val="none"/>
                <w:lang w:val="en-US" w:eastAsia="zh-CN" w:bidi="ar-SA"/>
              </w:rPr>
              <w:t>满足资格审查条件得9分；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kern w:val="2"/>
                <w:sz w:val="21"/>
                <w:szCs w:val="21"/>
                <w:highlight w:val="none"/>
                <w:lang w:val="en-US" w:eastAsia="zh-CN" w:bidi="ar-SA"/>
              </w:rPr>
            </w:pPr>
            <w:r>
              <w:rPr>
                <w:rFonts w:hint="eastAsia" w:ascii="Times New Roman" w:hAnsi="Times New Roman"/>
                <w:kern w:val="2"/>
                <w:sz w:val="21"/>
                <w:szCs w:val="21"/>
                <w:highlight w:val="none"/>
                <w:lang w:val="en-US" w:eastAsia="zh-CN" w:bidi="ar-SA"/>
              </w:rPr>
              <w:t>在满足资格条件基础上，投标人在2017年1月1日至今，每多承接一个金额不低于20万元的机电系统（须含通信、监控系统）维护业绩的加2分，最多加6分。</w:t>
            </w:r>
          </w:p>
          <w:p>
            <w:pPr>
              <w:pStyle w:val="2"/>
              <w:keepNext w:val="0"/>
              <w:keepLines w:val="0"/>
              <w:pageBreakBefore w:val="0"/>
              <w:widowControl w:val="0"/>
              <w:kinsoku/>
              <w:wordWrap/>
              <w:overflowPunct/>
              <w:topLinePunct w:val="0"/>
              <w:autoSpaceDE/>
              <w:autoSpaceDN/>
              <w:bidi w:val="0"/>
              <w:adjustRightInd/>
              <w:snapToGrid/>
              <w:spacing w:before="167" w:beforeLines="50" w:after="0" w:line="240" w:lineRule="auto"/>
              <w:ind w:left="0" w:leftChars="0" w:firstLine="0" w:firstLineChars="0"/>
              <w:jc w:val="left"/>
              <w:textAlignment w:val="auto"/>
            </w:pPr>
            <w:r>
              <w:rPr>
                <w:rFonts w:hint="eastAsia"/>
                <w:lang w:eastAsia="zh-CN"/>
              </w:rPr>
              <w:t>注：</w:t>
            </w:r>
            <w:r>
              <w:rPr>
                <w:rFonts w:hint="eastAsia"/>
                <w:sz w:val="21"/>
                <w:szCs w:val="21"/>
                <w:highlight w:val="none"/>
                <w:lang w:val="en-US" w:eastAsia="zh-CN"/>
              </w:rPr>
              <w:t>如一个机电系统维护项目业绩的合同协议书中无法同时体现</w:t>
            </w:r>
            <w:r>
              <w:rPr>
                <w:rFonts w:hint="eastAsia" w:ascii="Times New Roman" w:hAnsi="Times New Roman"/>
                <w:sz w:val="21"/>
                <w:szCs w:val="21"/>
                <w:highlight w:val="none"/>
              </w:rPr>
              <w:t>通信、监控系统相关内容的</w:t>
            </w:r>
            <w:r>
              <w:rPr>
                <w:rFonts w:hint="eastAsia"/>
                <w:sz w:val="21"/>
                <w:szCs w:val="21"/>
                <w:highlight w:val="none"/>
                <w:lang w:eastAsia="zh-CN"/>
              </w:rPr>
              <w:t>，允许提供两个</w:t>
            </w:r>
            <w:r>
              <w:rPr>
                <w:rFonts w:hint="eastAsia" w:ascii="宋体" w:hAnsi="宋体"/>
                <w:color w:val="auto"/>
                <w:highlight w:val="none"/>
              </w:rPr>
              <w:t>不低于</w:t>
            </w:r>
            <w:r>
              <w:rPr>
                <w:rFonts w:hint="eastAsia" w:ascii="宋体" w:hAnsi="宋体"/>
                <w:color w:val="auto"/>
                <w:highlight w:val="none"/>
                <w:lang w:val="en-US" w:eastAsia="zh-CN"/>
              </w:rPr>
              <w:t>20</w:t>
            </w:r>
            <w:r>
              <w:rPr>
                <w:rFonts w:hint="eastAsia" w:ascii="宋体" w:hAnsi="宋体"/>
                <w:color w:val="auto"/>
                <w:highlight w:val="none"/>
              </w:rPr>
              <w:t>万元的机电系统维护的业绩</w:t>
            </w:r>
            <w:r>
              <w:rPr>
                <w:rFonts w:hint="eastAsia" w:ascii="宋体" w:hAnsi="宋体"/>
                <w:color w:val="auto"/>
                <w:highlight w:val="none"/>
                <w:lang w:eastAsia="zh-CN"/>
              </w:rPr>
              <w:t>（分别含有通信系统和监控系统），此两个项目业绩视同为一个满足资格审查要求和业绩加分项的业绩。</w:t>
            </w:r>
          </w:p>
        </w:tc>
      </w:tr>
    </w:tbl>
    <w:p>
      <w:pPr>
        <w:pStyle w:val="6"/>
        <w:ind w:firstLine="0" w:firstLineChars="0"/>
        <w:jc w:val="center"/>
        <w:rPr>
          <w:rStyle w:val="14"/>
          <w:rFonts w:ascii="宋体" w:hAnsi="宋体"/>
          <w:b/>
          <w:bCs/>
          <w:sz w:val="24"/>
          <w:highlight w:val="none"/>
        </w:rPr>
      </w:pPr>
    </w:p>
    <w:p>
      <w:pPr>
        <w:rPr>
          <w:rStyle w:val="14"/>
          <w:rFonts w:ascii="宋体" w:hAnsi="宋体"/>
          <w:b/>
          <w:bCs/>
          <w:sz w:val="24"/>
          <w:highlight w:val="none"/>
        </w:rPr>
      </w:pPr>
    </w:p>
    <w:p>
      <w:pPr>
        <w:pStyle w:val="2"/>
      </w:pPr>
      <w:bookmarkStart w:id="6" w:name="_GoBack"/>
      <w:bookmarkEnd w:id="6"/>
    </w:p>
    <w:p>
      <w:pPr>
        <w:pStyle w:val="6"/>
        <w:ind w:firstLine="0" w:firstLineChars="0"/>
        <w:jc w:val="center"/>
        <w:rPr>
          <w:rFonts w:ascii="宋体" w:hAnsi="宋体"/>
          <w:b w:val="0"/>
          <w:sz w:val="24"/>
          <w:highlight w:val="none"/>
        </w:rPr>
      </w:pPr>
      <w:r>
        <w:rPr>
          <w:rStyle w:val="14"/>
          <w:rFonts w:ascii="宋体" w:hAnsi="宋体"/>
          <w:b/>
          <w:bCs/>
          <w:sz w:val="24"/>
          <w:highlight w:val="none"/>
        </w:rPr>
        <w:t>表C</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574"/>
        <w:gridCol w:w="60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00" w:type="dxa"/>
            <w:noWrap w:val="0"/>
            <w:vAlign w:val="center"/>
          </w:tcPr>
          <w:p>
            <w:pPr>
              <w:spacing w:line="276" w:lineRule="auto"/>
              <w:jc w:val="center"/>
              <w:rPr>
                <w:rFonts w:ascii="Times New Roman" w:hAnsi="Times New Roman" w:eastAsia="黑体"/>
                <w:sz w:val="22"/>
                <w:szCs w:val="22"/>
                <w:highlight w:val="none"/>
              </w:rPr>
            </w:pPr>
            <w:r>
              <w:rPr>
                <w:rFonts w:ascii="Times New Roman" w:hAnsi="Times New Roman" w:eastAsia="黑体"/>
                <w:sz w:val="22"/>
                <w:szCs w:val="22"/>
                <w:highlight w:val="none"/>
              </w:rPr>
              <w:t>条款号</w:t>
            </w:r>
          </w:p>
        </w:tc>
        <w:tc>
          <w:tcPr>
            <w:tcW w:w="1574" w:type="dxa"/>
            <w:noWrap w:val="0"/>
            <w:vAlign w:val="center"/>
          </w:tcPr>
          <w:p>
            <w:pPr>
              <w:spacing w:line="276" w:lineRule="auto"/>
              <w:jc w:val="center"/>
              <w:rPr>
                <w:rFonts w:ascii="Times New Roman" w:hAnsi="Times New Roman" w:eastAsia="黑体"/>
                <w:sz w:val="22"/>
                <w:szCs w:val="22"/>
                <w:highlight w:val="none"/>
              </w:rPr>
            </w:pPr>
            <w:r>
              <w:rPr>
                <w:rFonts w:ascii="Times New Roman" w:hAnsi="Times New Roman" w:eastAsia="黑体"/>
                <w:sz w:val="22"/>
                <w:szCs w:val="22"/>
                <w:highlight w:val="none"/>
              </w:rPr>
              <w:t>条款内容</w:t>
            </w:r>
          </w:p>
        </w:tc>
        <w:tc>
          <w:tcPr>
            <w:tcW w:w="6098" w:type="dxa"/>
            <w:noWrap w:val="0"/>
            <w:vAlign w:val="center"/>
          </w:tcPr>
          <w:p>
            <w:pPr>
              <w:spacing w:line="276" w:lineRule="auto"/>
              <w:jc w:val="center"/>
              <w:rPr>
                <w:rFonts w:ascii="Times New Roman" w:hAnsi="Times New Roman" w:eastAsia="黑体"/>
                <w:sz w:val="22"/>
                <w:szCs w:val="22"/>
                <w:highlight w:val="none"/>
              </w:rPr>
            </w:pPr>
            <w:r>
              <w:rPr>
                <w:rFonts w:ascii="Times New Roman" w:hAnsi="Times New Roman" w:eastAsia="黑体"/>
                <w:sz w:val="22"/>
                <w:szCs w:val="22"/>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snapToGrid w:val="0"/>
              <w:spacing w:line="276" w:lineRule="auto"/>
              <w:jc w:val="center"/>
              <w:rPr>
                <w:rFonts w:ascii="Times New Roman" w:hAnsi="Times New Roman"/>
                <w:sz w:val="22"/>
                <w:szCs w:val="22"/>
                <w:highlight w:val="none"/>
              </w:rPr>
            </w:pPr>
            <w:r>
              <w:rPr>
                <w:rFonts w:ascii="Times New Roman" w:hAnsi="Times New Roman"/>
                <w:sz w:val="22"/>
                <w:szCs w:val="22"/>
                <w:highlight w:val="none"/>
              </w:rPr>
              <w:t>3.1</w:t>
            </w:r>
          </w:p>
        </w:tc>
        <w:tc>
          <w:tcPr>
            <w:tcW w:w="1574" w:type="dxa"/>
            <w:noWrap w:val="0"/>
            <w:vAlign w:val="center"/>
          </w:tcPr>
          <w:p>
            <w:pPr>
              <w:snapToGrid w:val="0"/>
              <w:spacing w:line="276" w:lineRule="auto"/>
              <w:jc w:val="center"/>
              <w:rPr>
                <w:rFonts w:ascii="Times New Roman" w:hAnsi="Times New Roman"/>
                <w:sz w:val="22"/>
                <w:szCs w:val="22"/>
                <w:highlight w:val="none"/>
              </w:rPr>
            </w:pPr>
            <w:r>
              <w:rPr>
                <w:rFonts w:ascii="Times New Roman" w:hAnsi="Times New Roman"/>
                <w:sz w:val="22"/>
                <w:szCs w:val="22"/>
                <w:highlight w:val="none"/>
              </w:rPr>
              <w:t>第一个信封初步评审</w:t>
            </w:r>
          </w:p>
        </w:tc>
        <w:tc>
          <w:tcPr>
            <w:tcW w:w="6098" w:type="dxa"/>
            <w:noWrap w:val="0"/>
            <w:vAlign w:val="center"/>
          </w:tcPr>
          <w:p>
            <w:pPr>
              <w:snapToGrid w:val="0"/>
              <w:spacing w:line="276" w:lineRule="auto"/>
              <w:ind w:firstLine="440" w:firstLineChars="200"/>
              <w:rPr>
                <w:rFonts w:ascii="Times New Roman" w:hAnsi="Times New Roman"/>
                <w:sz w:val="22"/>
                <w:szCs w:val="22"/>
                <w:highlight w:val="none"/>
              </w:rPr>
            </w:pPr>
            <w:r>
              <w:rPr>
                <w:rFonts w:ascii="Times New Roman" w:hAnsi="Times New Roman"/>
                <w:sz w:val="22"/>
                <w:szCs w:val="22"/>
                <w:highlight w:val="none"/>
              </w:rPr>
              <w:t>评标委员会依据本章第</w:t>
            </w:r>
            <w:r>
              <w:rPr>
                <w:rFonts w:ascii="Times New Roman" w:hAnsi="Times New Roman" w:eastAsia="Times New Roman"/>
                <w:sz w:val="22"/>
                <w:szCs w:val="22"/>
                <w:highlight w:val="none"/>
              </w:rPr>
              <w:t>2.1</w:t>
            </w:r>
            <w:r>
              <w:rPr>
                <w:rFonts w:ascii="Times New Roman" w:hAnsi="Times New Roman"/>
                <w:sz w:val="22"/>
                <w:szCs w:val="22"/>
                <w:highlight w:val="none"/>
              </w:rPr>
              <w:t>款规定的标准对投标文件第一个信封上、下册文件（即商务、技术文件）进行初步评审。有一项不符合评审标准的，评标委员会应否决其投标。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snapToGrid w:val="0"/>
              <w:spacing w:line="276" w:lineRule="auto"/>
              <w:jc w:val="center"/>
              <w:rPr>
                <w:rFonts w:ascii="Times New Roman" w:hAnsi="Times New Roman"/>
                <w:sz w:val="22"/>
                <w:szCs w:val="22"/>
                <w:highlight w:val="none"/>
              </w:rPr>
            </w:pPr>
            <w:r>
              <w:rPr>
                <w:rFonts w:ascii="Times New Roman" w:hAnsi="Times New Roman"/>
                <w:sz w:val="22"/>
                <w:szCs w:val="22"/>
                <w:highlight w:val="none"/>
              </w:rPr>
              <w:t>3.2</w:t>
            </w:r>
          </w:p>
        </w:tc>
        <w:tc>
          <w:tcPr>
            <w:tcW w:w="1574" w:type="dxa"/>
            <w:noWrap w:val="0"/>
            <w:vAlign w:val="center"/>
          </w:tcPr>
          <w:p>
            <w:pPr>
              <w:snapToGrid w:val="0"/>
              <w:spacing w:line="276" w:lineRule="auto"/>
              <w:jc w:val="center"/>
              <w:rPr>
                <w:rFonts w:ascii="Times New Roman" w:hAnsi="Times New Roman"/>
                <w:spacing w:val="-60"/>
                <w:sz w:val="22"/>
                <w:szCs w:val="22"/>
                <w:highlight w:val="none"/>
              </w:rPr>
            </w:pPr>
            <w:r>
              <w:rPr>
                <w:rFonts w:ascii="Times New Roman" w:hAnsi="Times New Roman"/>
                <w:sz w:val="22"/>
                <w:szCs w:val="22"/>
                <w:highlight w:val="none"/>
              </w:rPr>
              <w:t>第一个信封详细评审</w:t>
            </w:r>
          </w:p>
        </w:tc>
        <w:tc>
          <w:tcPr>
            <w:tcW w:w="6098" w:type="dxa"/>
            <w:noWrap w:val="0"/>
            <w:vAlign w:val="center"/>
          </w:tcPr>
          <w:p>
            <w:pPr>
              <w:snapToGrid w:val="0"/>
              <w:spacing w:line="276" w:lineRule="auto"/>
              <w:ind w:firstLine="440" w:firstLineChars="200"/>
              <w:rPr>
                <w:rFonts w:ascii="Times New Roman" w:hAnsi="Times New Roman"/>
                <w:sz w:val="22"/>
                <w:szCs w:val="22"/>
                <w:highlight w:val="none"/>
              </w:rPr>
            </w:pPr>
            <w:r>
              <w:rPr>
                <w:rFonts w:ascii="Times New Roman" w:hAnsi="Times New Roman"/>
                <w:sz w:val="22"/>
                <w:szCs w:val="22"/>
                <w:highlight w:val="none"/>
              </w:rPr>
              <w:t>评标委员会按本章第2.2款规定的量化因素和分值进行打分，并计算出各投标人的商务和技术得分。</w:t>
            </w:r>
          </w:p>
          <w:p>
            <w:pPr>
              <w:snapToGrid w:val="0"/>
              <w:spacing w:line="276" w:lineRule="auto"/>
              <w:ind w:firstLine="440" w:firstLineChars="200"/>
              <w:rPr>
                <w:rFonts w:ascii="Times New Roman" w:hAnsi="Times New Roman"/>
                <w:sz w:val="22"/>
                <w:szCs w:val="22"/>
                <w:highlight w:val="none"/>
              </w:rPr>
            </w:pPr>
            <w:r>
              <w:rPr>
                <w:rFonts w:ascii="Times New Roman" w:hAnsi="Times New Roman"/>
                <w:sz w:val="22"/>
                <w:szCs w:val="22"/>
                <w:highlight w:val="none"/>
              </w:rPr>
              <w:t>评标委员会按照投标人的商务和技术得分由高到低排序，排名在评标办法前附表规定数量以内的投标人，其投标文件第一个信封（商务及技术文件）通过详细评审，进入第二个信封报价文件开启和评审。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snapToGrid w:val="0"/>
              <w:spacing w:line="276" w:lineRule="auto"/>
              <w:jc w:val="center"/>
              <w:rPr>
                <w:rFonts w:ascii="Times New Roman" w:hAnsi="Times New Roman"/>
                <w:sz w:val="22"/>
                <w:szCs w:val="22"/>
                <w:highlight w:val="none"/>
              </w:rPr>
            </w:pPr>
          </w:p>
        </w:tc>
        <w:tc>
          <w:tcPr>
            <w:tcW w:w="1574" w:type="dxa"/>
            <w:noWrap w:val="0"/>
            <w:vAlign w:val="center"/>
          </w:tcPr>
          <w:p>
            <w:pPr>
              <w:spacing w:line="276" w:lineRule="auto"/>
              <w:jc w:val="center"/>
              <w:rPr>
                <w:rFonts w:ascii="Times New Roman" w:hAnsi="Times New Roman"/>
                <w:sz w:val="22"/>
                <w:szCs w:val="22"/>
                <w:highlight w:val="none"/>
              </w:rPr>
            </w:pPr>
            <w:r>
              <w:rPr>
                <w:rFonts w:ascii="Times New Roman" w:hAnsi="Times New Roman"/>
                <w:sz w:val="22"/>
                <w:szCs w:val="22"/>
                <w:highlight w:val="none"/>
              </w:rPr>
              <w:t>有效投标不足3个的情况</w:t>
            </w:r>
          </w:p>
        </w:tc>
        <w:tc>
          <w:tcPr>
            <w:tcW w:w="6098" w:type="dxa"/>
            <w:noWrap w:val="0"/>
            <w:vAlign w:val="center"/>
          </w:tcPr>
          <w:p>
            <w:pPr>
              <w:spacing w:line="276" w:lineRule="auto"/>
              <w:ind w:firstLine="440" w:firstLineChars="200"/>
              <w:rPr>
                <w:rFonts w:ascii="Times New Roman" w:hAnsi="Times New Roman"/>
                <w:sz w:val="22"/>
                <w:szCs w:val="22"/>
                <w:highlight w:val="none"/>
              </w:rPr>
            </w:pPr>
            <w:r>
              <w:rPr>
                <w:rFonts w:ascii="Times New Roman" w:hAnsi="Times New Roman"/>
                <w:sz w:val="22"/>
                <w:szCs w:val="22"/>
                <w:highlight w:val="none"/>
              </w:rPr>
              <w:t>如通过</w:t>
            </w:r>
            <w:r>
              <w:rPr>
                <w:rFonts w:hint="eastAsia" w:ascii="Times New Roman" w:hAnsi="Times New Roman"/>
                <w:sz w:val="22"/>
                <w:szCs w:val="22"/>
                <w:highlight w:val="none"/>
              </w:rPr>
              <w:t>第一个信封</w:t>
            </w:r>
            <w:r>
              <w:rPr>
                <w:rFonts w:ascii="Times New Roman" w:hAnsi="Times New Roman"/>
                <w:sz w:val="22"/>
                <w:szCs w:val="22"/>
                <w:highlight w:val="none"/>
              </w:rPr>
              <w:t>评审的有效投标不足3个，评标委员会应当对有效投标是否仍具有竞争性进行评审。评标委员会一致认为有效投标仍具有竞争性的，应当继续按照规定的程序进行</w:t>
            </w:r>
            <w:r>
              <w:rPr>
                <w:rFonts w:hint="eastAsia" w:ascii="Times New Roman" w:hAnsi="Times New Roman"/>
                <w:sz w:val="22"/>
                <w:szCs w:val="22"/>
                <w:highlight w:val="none"/>
              </w:rPr>
              <w:t>第二个信封</w:t>
            </w:r>
            <w:r>
              <w:rPr>
                <w:rFonts w:ascii="Times New Roman" w:hAnsi="Times New Roman"/>
                <w:sz w:val="22"/>
                <w:szCs w:val="22"/>
                <w:highlight w:val="none"/>
              </w:rPr>
              <w:t>报价文件评审，并在评标报告中予以说明。评标委员会对有效投标是否仍具有竞争性无法达成一致意见的，应当否决全部投标。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snapToGrid w:val="0"/>
              <w:spacing w:line="276" w:lineRule="auto"/>
              <w:jc w:val="center"/>
              <w:rPr>
                <w:rFonts w:ascii="Times New Roman" w:hAnsi="Times New Roman"/>
                <w:sz w:val="22"/>
                <w:szCs w:val="22"/>
                <w:highlight w:val="none"/>
              </w:rPr>
            </w:pPr>
            <w:r>
              <w:rPr>
                <w:rFonts w:ascii="Times New Roman" w:hAnsi="Times New Roman"/>
                <w:sz w:val="22"/>
                <w:szCs w:val="22"/>
                <w:highlight w:val="none"/>
              </w:rPr>
              <w:t>3.3</w:t>
            </w:r>
          </w:p>
        </w:tc>
        <w:tc>
          <w:tcPr>
            <w:tcW w:w="1574" w:type="dxa"/>
            <w:noWrap w:val="0"/>
            <w:vAlign w:val="center"/>
          </w:tcPr>
          <w:p>
            <w:pPr>
              <w:snapToGrid w:val="0"/>
              <w:spacing w:line="276" w:lineRule="auto"/>
              <w:jc w:val="center"/>
              <w:rPr>
                <w:rFonts w:ascii="Times New Roman" w:hAnsi="Times New Roman"/>
                <w:sz w:val="22"/>
                <w:szCs w:val="22"/>
                <w:highlight w:val="none"/>
              </w:rPr>
            </w:pPr>
            <w:r>
              <w:rPr>
                <w:rFonts w:ascii="Times New Roman" w:hAnsi="Times New Roman"/>
                <w:sz w:val="22"/>
                <w:szCs w:val="22"/>
                <w:highlight w:val="none"/>
              </w:rPr>
              <w:t>第二个信封开标</w:t>
            </w:r>
          </w:p>
        </w:tc>
        <w:tc>
          <w:tcPr>
            <w:tcW w:w="6098" w:type="dxa"/>
            <w:noWrap w:val="0"/>
            <w:vAlign w:val="center"/>
          </w:tcPr>
          <w:p>
            <w:pPr>
              <w:snapToGrid w:val="0"/>
              <w:spacing w:line="276" w:lineRule="auto"/>
              <w:rPr>
                <w:rFonts w:ascii="Times New Roman" w:hAnsi="Times New Roman"/>
                <w:sz w:val="22"/>
                <w:szCs w:val="22"/>
                <w:highlight w:val="none"/>
              </w:rPr>
            </w:pPr>
            <w:r>
              <w:rPr>
                <w:rFonts w:ascii="Times New Roman" w:hAnsi="Times New Roman"/>
                <w:spacing w:val="-5"/>
                <w:sz w:val="22"/>
                <w:szCs w:val="22"/>
                <w:highlight w:val="none"/>
              </w:rPr>
              <w:t>第一个信封（商务及技术文件）评审结束后，招标人将按照第二章</w:t>
            </w:r>
            <w:r>
              <w:rPr>
                <w:rFonts w:hint="eastAsia" w:ascii="Times New Roman" w:hAnsi="Times New Roman"/>
                <w:sz w:val="22"/>
                <w:szCs w:val="22"/>
                <w:highlight w:val="none"/>
              </w:rPr>
              <w:t>“</w:t>
            </w:r>
            <w:r>
              <w:rPr>
                <w:rFonts w:ascii="Times New Roman" w:hAnsi="Times New Roman"/>
                <w:sz w:val="22"/>
                <w:szCs w:val="22"/>
                <w:highlight w:val="none"/>
              </w:rPr>
              <w:t>投标人须知</w:t>
            </w:r>
            <w:r>
              <w:rPr>
                <w:rFonts w:hint="eastAsia" w:ascii="Times New Roman" w:hAnsi="Times New Roman"/>
                <w:sz w:val="22"/>
                <w:szCs w:val="22"/>
                <w:highlight w:val="none"/>
              </w:rPr>
              <w:t>”</w:t>
            </w:r>
            <w:r>
              <w:rPr>
                <w:rFonts w:ascii="Times New Roman" w:hAnsi="Times New Roman"/>
                <w:sz w:val="22"/>
                <w:szCs w:val="22"/>
                <w:highlight w:val="none"/>
              </w:rPr>
              <w:t>第5.1款规定的时间和地点对通过投标文件第一个信封（商务及技术文件）评审的投标文件第二个信封（报价文件）进行开标。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snapToGrid w:val="0"/>
              <w:spacing w:line="276" w:lineRule="auto"/>
              <w:jc w:val="center"/>
              <w:rPr>
                <w:rFonts w:ascii="Times New Roman" w:hAnsi="Times New Roman"/>
                <w:sz w:val="22"/>
                <w:szCs w:val="22"/>
                <w:highlight w:val="none"/>
              </w:rPr>
            </w:pPr>
            <w:r>
              <w:rPr>
                <w:rFonts w:ascii="Times New Roman" w:hAnsi="Times New Roman"/>
                <w:sz w:val="22"/>
                <w:szCs w:val="22"/>
                <w:highlight w:val="none"/>
              </w:rPr>
              <w:t>3.4</w:t>
            </w:r>
          </w:p>
        </w:tc>
        <w:tc>
          <w:tcPr>
            <w:tcW w:w="1574" w:type="dxa"/>
            <w:noWrap w:val="0"/>
            <w:vAlign w:val="center"/>
          </w:tcPr>
          <w:p>
            <w:pPr>
              <w:snapToGrid w:val="0"/>
              <w:spacing w:line="276" w:lineRule="auto"/>
              <w:jc w:val="center"/>
              <w:rPr>
                <w:rFonts w:ascii="Times New Roman" w:hAnsi="Times New Roman"/>
                <w:sz w:val="22"/>
                <w:szCs w:val="22"/>
                <w:highlight w:val="none"/>
              </w:rPr>
            </w:pPr>
            <w:r>
              <w:rPr>
                <w:rFonts w:ascii="Times New Roman" w:hAnsi="Times New Roman"/>
                <w:sz w:val="22"/>
                <w:szCs w:val="22"/>
                <w:highlight w:val="none"/>
              </w:rPr>
              <w:t>第二个信封初步评审</w:t>
            </w:r>
          </w:p>
        </w:tc>
        <w:tc>
          <w:tcPr>
            <w:tcW w:w="6098" w:type="dxa"/>
            <w:noWrap w:val="0"/>
            <w:vAlign w:val="center"/>
          </w:tcPr>
          <w:p>
            <w:pPr>
              <w:snapToGrid w:val="0"/>
              <w:spacing w:line="276" w:lineRule="auto"/>
              <w:rPr>
                <w:rFonts w:ascii="Times New Roman" w:hAnsi="Times New Roman"/>
                <w:spacing w:val="-5"/>
                <w:sz w:val="22"/>
                <w:szCs w:val="22"/>
                <w:highlight w:val="none"/>
              </w:rPr>
            </w:pPr>
            <w:r>
              <w:rPr>
                <w:rFonts w:ascii="Times New Roman" w:hAnsi="Times New Roman"/>
                <w:sz w:val="22"/>
                <w:szCs w:val="22"/>
                <w:highlight w:val="none"/>
              </w:rPr>
              <w:t>评标委员会依据本章第2.1.1项、第2.1.3项规定的评审标准对投标文件第二个信封（报价文件）进行初步评审。有一项不符合评审标准的，评标委员会应否决其投标。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snapToGrid w:val="0"/>
              <w:spacing w:line="276" w:lineRule="auto"/>
              <w:jc w:val="center"/>
              <w:rPr>
                <w:rFonts w:ascii="Times New Roman" w:hAnsi="Times New Roman"/>
                <w:sz w:val="22"/>
                <w:szCs w:val="22"/>
                <w:highlight w:val="none"/>
              </w:rPr>
            </w:pPr>
            <w:r>
              <w:rPr>
                <w:rFonts w:ascii="Times New Roman" w:hAnsi="Times New Roman"/>
                <w:sz w:val="22"/>
                <w:szCs w:val="22"/>
                <w:highlight w:val="none"/>
              </w:rPr>
              <w:t>3.5</w:t>
            </w:r>
          </w:p>
        </w:tc>
        <w:tc>
          <w:tcPr>
            <w:tcW w:w="1574" w:type="dxa"/>
            <w:noWrap w:val="0"/>
            <w:vAlign w:val="center"/>
          </w:tcPr>
          <w:p>
            <w:pPr>
              <w:pStyle w:val="7"/>
              <w:snapToGrid w:val="0"/>
              <w:spacing w:line="276" w:lineRule="auto"/>
              <w:ind w:left="144" w:right="6"/>
              <w:jc w:val="center"/>
              <w:rPr>
                <w:b/>
                <w:sz w:val="22"/>
                <w:szCs w:val="22"/>
                <w:highlight w:val="none"/>
                <w:lang w:val="en-US" w:eastAsia="zh-CN"/>
              </w:rPr>
            </w:pPr>
            <w:r>
              <w:rPr>
                <w:sz w:val="22"/>
                <w:szCs w:val="22"/>
                <w:highlight w:val="none"/>
                <w:lang w:val="en-US" w:eastAsia="zh-CN"/>
              </w:rPr>
              <w:t>第二个信封详细评审</w:t>
            </w:r>
          </w:p>
        </w:tc>
        <w:tc>
          <w:tcPr>
            <w:tcW w:w="6098" w:type="dxa"/>
            <w:noWrap w:val="0"/>
            <w:vAlign w:val="center"/>
          </w:tcPr>
          <w:p>
            <w:pPr>
              <w:snapToGrid w:val="0"/>
              <w:spacing w:line="276" w:lineRule="auto"/>
              <w:rPr>
                <w:rFonts w:ascii="Times New Roman" w:hAnsi="Times New Roman"/>
                <w:sz w:val="22"/>
                <w:szCs w:val="22"/>
                <w:highlight w:val="none"/>
              </w:rPr>
            </w:pPr>
            <w:r>
              <w:rPr>
                <w:rFonts w:ascii="Times New Roman" w:hAnsi="Times New Roman"/>
                <w:sz w:val="22"/>
                <w:szCs w:val="22"/>
                <w:highlight w:val="none"/>
              </w:rPr>
              <w:t>评标委员会按本章第2.2款规定的对第二个信封进行详细评审。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snapToGrid w:val="0"/>
              <w:spacing w:line="276" w:lineRule="auto"/>
              <w:jc w:val="center"/>
              <w:rPr>
                <w:rFonts w:ascii="Times New Roman" w:hAnsi="Times New Roman"/>
                <w:sz w:val="22"/>
                <w:szCs w:val="22"/>
                <w:highlight w:val="none"/>
              </w:rPr>
            </w:pPr>
          </w:p>
        </w:tc>
        <w:tc>
          <w:tcPr>
            <w:tcW w:w="1574" w:type="dxa"/>
            <w:noWrap w:val="0"/>
            <w:vAlign w:val="center"/>
          </w:tcPr>
          <w:p>
            <w:pPr>
              <w:spacing w:line="276" w:lineRule="auto"/>
              <w:jc w:val="center"/>
              <w:rPr>
                <w:rFonts w:ascii="Times New Roman" w:hAnsi="Times New Roman"/>
                <w:sz w:val="22"/>
                <w:szCs w:val="22"/>
                <w:highlight w:val="none"/>
              </w:rPr>
            </w:pPr>
            <w:r>
              <w:rPr>
                <w:rFonts w:ascii="Times New Roman" w:hAnsi="Times New Roman"/>
                <w:sz w:val="22"/>
                <w:szCs w:val="22"/>
                <w:highlight w:val="none"/>
              </w:rPr>
              <w:t>有效投标不足3个的情况</w:t>
            </w:r>
          </w:p>
        </w:tc>
        <w:tc>
          <w:tcPr>
            <w:tcW w:w="6098" w:type="dxa"/>
            <w:noWrap w:val="0"/>
            <w:vAlign w:val="center"/>
          </w:tcPr>
          <w:p>
            <w:pPr>
              <w:spacing w:line="276" w:lineRule="auto"/>
              <w:rPr>
                <w:rFonts w:ascii="Times New Roman" w:hAnsi="Times New Roman"/>
                <w:sz w:val="22"/>
                <w:szCs w:val="22"/>
                <w:highlight w:val="none"/>
              </w:rPr>
            </w:pPr>
            <w:r>
              <w:rPr>
                <w:rFonts w:ascii="Times New Roman" w:hAnsi="Times New Roman"/>
                <w:sz w:val="22"/>
                <w:szCs w:val="22"/>
                <w:highlight w:val="none"/>
              </w:rPr>
              <w:t>对于通过</w:t>
            </w:r>
            <w:r>
              <w:rPr>
                <w:rFonts w:hint="eastAsia" w:ascii="Times New Roman" w:hAnsi="Times New Roman"/>
                <w:sz w:val="22"/>
                <w:szCs w:val="22"/>
                <w:highlight w:val="none"/>
              </w:rPr>
              <w:t>第一个信封</w:t>
            </w:r>
            <w:r>
              <w:rPr>
                <w:rFonts w:ascii="Times New Roman" w:hAnsi="Times New Roman"/>
                <w:sz w:val="22"/>
                <w:szCs w:val="22"/>
                <w:highlight w:val="none"/>
              </w:rPr>
              <w:t>评审的有效投标不足3个且评标委员会未否决全部投标的</w:t>
            </w:r>
            <w:r>
              <w:rPr>
                <w:rFonts w:hint="eastAsia" w:ascii="Times New Roman" w:hAnsi="Times New Roman"/>
                <w:sz w:val="22"/>
                <w:szCs w:val="22"/>
                <w:highlight w:val="none"/>
              </w:rPr>
              <w:t>第二个信封</w:t>
            </w:r>
            <w:r>
              <w:rPr>
                <w:rFonts w:ascii="Times New Roman" w:hAnsi="Times New Roman"/>
                <w:sz w:val="22"/>
                <w:szCs w:val="22"/>
                <w:highlight w:val="none"/>
              </w:rPr>
              <w:t>报价文件，评标委员会在进行评审时应当对有效投标是否仍具有竞争性进行评审，并有权否决全部投标；评标委员会未在报价文件评审时否决全部投标的，应当在评标报告中阐明理由。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snapToGrid w:val="0"/>
              <w:spacing w:line="276" w:lineRule="auto"/>
              <w:jc w:val="center"/>
              <w:rPr>
                <w:rFonts w:ascii="Times New Roman" w:hAnsi="Times New Roman"/>
                <w:sz w:val="22"/>
                <w:szCs w:val="22"/>
                <w:highlight w:val="none"/>
              </w:rPr>
            </w:pPr>
            <w:r>
              <w:rPr>
                <w:rFonts w:ascii="Times New Roman" w:hAnsi="Times New Roman"/>
                <w:sz w:val="22"/>
                <w:szCs w:val="22"/>
                <w:highlight w:val="none"/>
              </w:rPr>
              <w:t>3.6</w:t>
            </w:r>
          </w:p>
        </w:tc>
        <w:tc>
          <w:tcPr>
            <w:tcW w:w="1574" w:type="dxa"/>
            <w:noWrap w:val="0"/>
            <w:vAlign w:val="center"/>
          </w:tcPr>
          <w:p>
            <w:pPr>
              <w:snapToGrid w:val="0"/>
              <w:spacing w:line="276" w:lineRule="auto"/>
              <w:jc w:val="center"/>
              <w:rPr>
                <w:rFonts w:ascii="Times New Roman" w:hAnsi="Times New Roman"/>
                <w:sz w:val="22"/>
                <w:szCs w:val="22"/>
                <w:highlight w:val="none"/>
              </w:rPr>
            </w:pPr>
            <w:r>
              <w:rPr>
                <w:rFonts w:ascii="Times New Roman" w:hAnsi="Times New Roman"/>
                <w:sz w:val="22"/>
                <w:szCs w:val="22"/>
                <w:highlight w:val="none"/>
              </w:rPr>
              <w:t>投标文件相关信息的核查</w:t>
            </w:r>
          </w:p>
        </w:tc>
        <w:tc>
          <w:tcPr>
            <w:tcW w:w="6098" w:type="dxa"/>
            <w:noWrap w:val="0"/>
            <w:vAlign w:val="center"/>
          </w:tcPr>
          <w:p>
            <w:pPr>
              <w:snapToGrid w:val="0"/>
              <w:spacing w:line="276" w:lineRule="auto"/>
              <w:jc w:val="center"/>
              <w:rPr>
                <w:rFonts w:ascii="Times New Roman" w:hAnsi="Times New Roman"/>
                <w:sz w:val="22"/>
                <w:szCs w:val="22"/>
                <w:highlight w:val="none"/>
              </w:rPr>
            </w:pPr>
            <w:r>
              <w:rPr>
                <w:rFonts w:ascii="Times New Roman" w:hAnsi="Times New Roman"/>
                <w:sz w:val="22"/>
                <w:szCs w:val="22"/>
                <w:highlight w:val="none"/>
              </w:rPr>
              <w:t>评标委员会按招标文件规定对投标文件相关信息进行核实。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snapToGrid w:val="0"/>
              <w:spacing w:line="276" w:lineRule="auto"/>
              <w:jc w:val="center"/>
              <w:rPr>
                <w:rFonts w:ascii="Times New Roman" w:hAnsi="Times New Roman"/>
                <w:sz w:val="22"/>
                <w:szCs w:val="22"/>
                <w:highlight w:val="none"/>
              </w:rPr>
            </w:pPr>
            <w:r>
              <w:rPr>
                <w:rFonts w:ascii="Times New Roman" w:hAnsi="Times New Roman"/>
                <w:sz w:val="22"/>
                <w:szCs w:val="22"/>
                <w:highlight w:val="none"/>
              </w:rPr>
              <w:t>3.7</w:t>
            </w:r>
          </w:p>
        </w:tc>
        <w:tc>
          <w:tcPr>
            <w:tcW w:w="1574" w:type="dxa"/>
            <w:noWrap w:val="0"/>
            <w:vAlign w:val="center"/>
          </w:tcPr>
          <w:p>
            <w:pPr>
              <w:snapToGrid w:val="0"/>
              <w:spacing w:line="276" w:lineRule="auto"/>
              <w:jc w:val="center"/>
              <w:rPr>
                <w:rFonts w:ascii="Times New Roman" w:hAnsi="Times New Roman"/>
                <w:sz w:val="22"/>
                <w:szCs w:val="22"/>
                <w:highlight w:val="none"/>
              </w:rPr>
            </w:pPr>
            <w:r>
              <w:rPr>
                <w:rFonts w:ascii="Times New Roman" w:hAnsi="Times New Roman"/>
                <w:sz w:val="22"/>
                <w:szCs w:val="22"/>
                <w:highlight w:val="none"/>
              </w:rPr>
              <w:t>投标文件的澄清和说明</w:t>
            </w:r>
          </w:p>
        </w:tc>
        <w:tc>
          <w:tcPr>
            <w:tcW w:w="6098" w:type="dxa"/>
            <w:noWrap w:val="0"/>
            <w:vAlign w:val="center"/>
          </w:tcPr>
          <w:p>
            <w:pPr>
              <w:snapToGrid w:val="0"/>
              <w:spacing w:line="276" w:lineRule="auto"/>
              <w:rPr>
                <w:rFonts w:ascii="Times New Roman" w:hAnsi="Times New Roman"/>
                <w:sz w:val="22"/>
                <w:szCs w:val="22"/>
                <w:highlight w:val="none"/>
              </w:rPr>
            </w:pPr>
            <w:r>
              <w:rPr>
                <w:rFonts w:ascii="Times New Roman" w:hAnsi="Times New Roman"/>
                <w:sz w:val="22"/>
                <w:szCs w:val="22"/>
                <w:highlight w:val="none"/>
              </w:rPr>
              <w:t>评标委员会按招标文件规定要求投标人对投标文件进行澄清和说明。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spacing w:line="276" w:lineRule="auto"/>
              <w:jc w:val="center"/>
              <w:rPr>
                <w:rFonts w:ascii="Times New Roman" w:hAnsi="Times New Roman"/>
                <w:sz w:val="22"/>
                <w:szCs w:val="22"/>
                <w:highlight w:val="none"/>
              </w:rPr>
            </w:pPr>
            <w:r>
              <w:rPr>
                <w:rFonts w:ascii="Times New Roman" w:hAnsi="Times New Roman"/>
                <w:sz w:val="22"/>
                <w:szCs w:val="22"/>
                <w:highlight w:val="none"/>
              </w:rPr>
              <w:t>3.8</w:t>
            </w:r>
          </w:p>
        </w:tc>
        <w:tc>
          <w:tcPr>
            <w:tcW w:w="1574" w:type="dxa"/>
            <w:noWrap w:val="0"/>
            <w:vAlign w:val="center"/>
          </w:tcPr>
          <w:p>
            <w:pPr>
              <w:spacing w:line="276" w:lineRule="auto"/>
              <w:jc w:val="center"/>
              <w:rPr>
                <w:rFonts w:ascii="Times New Roman" w:hAnsi="Times New Roman"/>
                <w:sz w:val="22"/>
                <w:szCs w:val="22"/>
                <w:highlight w:val="none"/>
              </w:rPr>
            </w:pPr>
            <w:r>
              <w:rPr>
                <w:rFonts w:ascii="Times New Roman" w:hAnsi="Times New Roman"/>
                <w:sz w:val="22"/>
                <w:szCs w:val="22"/>
                <w:highlight w:val="none"/>
              </w:rPr>
              <w:t>不得否决投标的情形</w:t>
            </w:r>
          </w:p>
        </w:tc>
        <w:tc>
          <w:tcPr>
            <w:tcW w:w="6098" w:type="dxa"/>
            <w:noWrap w:val="0"/>
            <w:vAlign w:val="center"/>
          </w:tcPr>
          <w:p>
            <w:pPr>
              <w:spacing w:line="276" w:lineRule="auto"/>
              <w:rPr>
                <w:rFonts w:ascii="Times New Roman" w:hAnsi="Times New Roman"/>
                <w:sz w:val="22"/>
                <w:szCs w:val="22"/>
                <w:highlight w:val="none"/>
              </w:rPr>
            </w:pPr>
            <w:r>
              <w:rPr>
                <w:rFonts w:ascii="Times New Roman" w:hAnsi="Times New Roman"/>
                <w:sz w:val="22"/>
                <w:szCs w:val="22"/>
                <w:highlight w:val="none"/>
              </w:rPr>
              <w:t>投标文件存在第二章</w:t>
            </w:r>
            <w:r>
              <w:rPr>
                <w:rFonts w:hint="eastAsia" w:ascii="Times New Roman" w:hAnsi="Times New Roman"/>
                <w:sz w:val="22"/>
                <w:szCs w:val="22"/>
                <w:highlight w:val="none"/>
              </w:rPr>
              <w:t>“</w:t>
            </w:r>
            <w:r>
              <w:rPr>
                <w:rFonts w:ascii="Times New Roman" w:hAnsi="Times New Roman"/>
                <w:sz w:val="22"/>
                <w:szCs w:val="22"/>
                <w:highlight w:val="none"/>
              </w:rPr>
              <w:t>投标人须知</w:t>
            </w:r>
            <w:r>
              <w:rPr>
                <w:rFonts w:hint="eastAsia" w:ascii="Times New Roman" w:hAnsi="Times New Roman"/>
                <w:sz w:val="22"/>
                <w:szCs w:val="22"/>
                <w:highlight w:val="none"/>
              </w:rPr>
              <w:t>”</w:t>
            </w:r>
            <w:r>
              <w:rPr>
                <w:rFonts w:ascii="Times New Roman" w:hAnsi="Times New Roman"/>
                <w:sz w:val="22"/>
                <w:szCs w:val="22"/>
                <w:highlight w:val="none"/>
              </w:rPr>
              <w:t>第1.12.3项所列情形，均视为细微偏差，评标委员会不得否决投标人的投标，应按照第二章</w:t>
            </w:r>
            <w:r>
              <w:rPr>
                <w:rFonts w:hint="eastAsia" w:ascii="Times New Roman" w:hAnsi="Times New Roman"/>
                <w:sz w:val="22"/>
                <w:szCs w:val="22"/>
                <w:highlight w:val="none"/>
              </w:rPr>
              <w:t>“</w:t>
            </w:r>
            <w:r>
              <w:rPr>
                <w:rFonts w:ascii="Times New Roman" w:hAnsi="Times New Roman"/>
                <w:sz w:val="22"/>
                <w:szCs w:val="22"/>
                <w:highlight w:val="none"/>
              </w:rPr>
              <w:t>投标人须知</w:t>
            </w:r>
            <w:r>
              <w:rPr>
                <w:rFonts w:hint="eastAsia" w:ascii="Times New Roman" w:hAnsi="Times New Roman"/>
                <w:sz w:val="22"/>
                <w:szCs w:val="22"/>
                <w:highlight w:val="none"/>
              </w:rPr>
              <w:t>”</w:t>
            </w:r>
            <w:r>
              <w:rPr>
                <w:rFonts w:ascii="Times New Roman" w:hAnsi="Times New Roman"/>
                <w:sz w:val="22"/>
                <w:szCs w:val="22"/>
                <w:highlight w:val="none"/>
              </w:rPr>
              <w:t>第1.12.4项规定的原则处理。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snapToGrid w:val="0"/>
              <w:spacing w:line="276" w:lineRule="auto"/>
              <w:jc w:val="center"/>
              <w:rPr>
                <w:rFonts w:ascii="Times New Roman" w:hAnsi="Times New Roman"/>
                <w:sz w:val="22"/>
                <w:szCs w:val="22"/>
                <w:highlight w:val="none"/>
              </w:rPr>
            </w:pPr>
            <w:r>
              <w:rPr>
                <w:rFonts w:ascii="Times New Roman" w:hAnsi="Times New Roman"/>
                <w:sz w:val="22"/>
                <w:szCs w:val="22"/>
                <w:highlight w:val="none"/>
              </w:rPr>
              <w:t>3.9</w:t>
            </w:r>
          </w:p>
        </w:tc>
        <w:tc>
          <w:tcPr>
            <w:tcW w:w="1574" w:type="dxa"/>
            <w:noWrap w:val="0"/>
            <w:vAlign w:val="center"/>
          </w:tcPr>
          <w:p>
            <w:pPr>
              <w:snapToGrid w:val="0"/>
              <w:spacing w:line="276" w:lineRule="auto"/>
              <w:jc w:val="center"/>
              <w:rPr>
                <w:rFonts w:ascii="Times New Roman" w:hAnsi="Times New Roman"/>
                <w:sz w:val="22"/>
                <w:szCs w:val="22"/>
                <w:highlight w:val="none"/>
              </w:rPr>
            </w:pPr>
            <w:r>
              <w:rPr>
                <w:rFonts w:ascii="Times New Roman" w:hAnsi="Times New Roman"/>
                <w:sz w:val="22"/>
                <w:szCs w:val="22"/>
                <w:highlight w:val="none"/>
              </w:rPr>
              <w:t>评标结果</w:t>
            </w:r>
          </w:p>
        </w:tc>
        <w:tc>
          <w:tcPr>
            <w:tcW w:w="6098" w:type="dxa"/>
            <w:noWrap w:val="0"/>
            <w:vAlign w:val="center"/>
          </w:tcPr>
          <w:p>
            <w:pPr>
              <w:snapToGrid w:val="0"/>
              <w:spacing w:line="276" w:lineRule="auto"/>
              <w:rPr>
                <w:rFonts w:ascii="Times New Roman" w:hAnsi="Times New Roman"/>
                <w:sz w:val="22"/>
                <w:szCs w:val="22"/>
                <w:highlight w:val="none"/>
              </w:rPr>
            </w:pPr>
            <w:r>
              <w:rPr>
                <w:rFonts w:ascii="Times New Roman" w:hAnsi="Times New Roman"/>
                <w:sz w:val="22"/>
                <w:szCs w:val="22"/>
                <w:highlight w:val="none"/>
              </w:rPr>
              <w:t>评标委员会按照评标办法前附表第1条规定的优先次序推荐中标候选人，并提交评标报告。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3"/>
            <w:noWrap w:val="0"/>
            <w:vAlign w:val="center"/>
          </w:tcPr>
          <w:p>
            <w:pPr>
              <w:spacing w:line="276" w:lineRule="auto"/>
              <w:rPr>
                <w:rFonts w:ascii="Times New Roman" w:hAnsi="Times New Roman"/>
                <w:sz w:val="22"/>
                <w:szCs w:val="22"/>
                <w:highlight w:val="none"/>
              </w:rPr>
            </w:pPr>
            <w:r>
              <w:rPr>
                <w:rFonts w:ascii="Times New Roman" w:hAnsi="Times New Roman"/>
                <w:sz w:val="22"/>
                <w:szCs w:val="22"/>
                <w:highlight w:val="none"/>
              </w:rPr>
              <w:t>需要补充的其他内容：</w:t>
            </w:r>
          </w:p>
          <w:p>
            <w:pPr>
              <w:spacing w:line="276" w:lineRule="auto"/>
              <w:ind w:firstLine="440" w:firstLineChars="200"/>
              <w:rPr>
                <w:rFonts w:ascii="Times New Roman" w:hAnsi="Times New Roman"/>
                <w:sz w:val="22"/>
                <w:szCs w:val="22"/>
                <w:highlight w:val="none"/>
              </w:rPr>
            </w:pPr>
            <w:r>
              <w:rPr>
                <w:rFonts w:ascii="Times New Roman" w:hAnsi="Times New Roman"/>
                <w:sz w:val="22"/>
                <w:szCs w:val="22"/>
                <w:highlight w:val="none"/>
              </w:rPr>
              <w:t>1、本办法没有列明的因素和标准不得作为评标的依据。</w:t>
            </w:r>
          </w:p>
          <w:p>
            <w:pPr>
              <w:spacing w:line="276" w:lineRule="auto"/>
              <w:ind w:firstLine="440" w:firstLineChars="200"/>
              <w:rPr>
                <w:rFonts w:ascii="Times New Roman" w:hAnsi="Times New Roman"/>
                <w:sz w:val="22"/>
                <w:szCs w:val="22"/>
                <w:highlight w:val="none"/>
              </w:rPr>
            </w:pPr>
            <w:r>
              <w:rPr>
                <w:rFonts w:ascii="Times New Roman" w:hAnsi="Times New Roman"/>
                <w:sz w:val="22"/>
                <w:szCs w:val="22"/>
                <w:highlight w:val="none"/>
              </w:rPr>
              <w:t>2、各评分因素（评标价、获奖和信用评价评分项除外）得分一般不低于其权重分值的60%，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作出说明。</w:t>
            </w:r>
          </w:p>
          <w:p>
            <w:pPr>
              <w:spacing w:line="276" w:lineRule="auto"/>
              <w:ind w:firstLine="440" w:firstLineChars="200"/>
              <w:rPr>
                <w:rFonts w:ascii="Times New Roman" w:hAnsi="Times New Roman"/>
                <w:sz w:val="22"/>
                <w:szCs w:val="22"/>
                <w:highlight w:val="none"/>
              </w:rPr>
            </w:pPr>
            <w:r>
              <w:rPr>
                <w:rFonts w:ascii="Times New Roman" w:hAnsi="Times New Roman"/>
                <w:sz w:val="22"/>
                <w:szCs w:val="22"/>
                <w:highlight w:val="none"/>
              </w:rPr>
              <w:t>3、若某一投标人在多个标段均排名第一，且只能中一个标段时，评标委员会应按照投标人须知前附表第6.3款约定的原则推荐中标候选人。</w:t>
            </w:r>
          </w:p>
        </w:tc>
      </w:tr>
    </w:tbl>
    <w:p>
      <w:pPr>
        <w:spacing w:line="360" w:lineRule="auto"/>
        <w:ind w:firstLine="442" w:firstLineChars="200"/>
        <w:rPr>
          <w:rFonts w:ascii="Times New Roman" w:hAnsi="Times New Roman"/>
          <w:b/>
          <w:sz w:val="22"/>
          <w:szCs w:val="21"/>
          <w:highlight w:val="none"/>
        </w:rPr>
      </w:pPr>
    </w:p>
    <w:p>
      <w:pPr>
        <w:snapToGrid w:val="0"/>
        <w:spacing w:line="312" w:lineRule="auto"/>
        <w:rPr>
          <w:rFonts w:ascii="Times New Roman" w:hAnsi="Times New Roman"/>
          <w:sz w:val="22"/>
          <w:highlight w:val="none"/>
        </w:rPr>
      </w:pPr>
      <w:r>
        <w:rPr>
          <w:rFonts w:ascii="Times New Roman" w:hAnsi="Times New Roman" w:eastAsia="方正小标宋简体"/>
          <w:sz w:val="28"/>
          <w:szCs w:val="28"/>
          <w:highlight w:val="none"/>
        </w:rPr>
        <w:br w:type="page"/>
      </w:r>
      <w:r>
        <w:rPr>
          <w:rFonts w:ascii="Times New Roman" w:hAnsi="Times New Roman" w:eastAsia="方正小标宋简体"/>
          <w:sz w:val="28"/>
          <w:szCs w:val="28"/>
          <w:highlight w:val="none"/>
        </w:rPr>
        <w:t>1. 评标方法</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的，评标委员会应按照评标办法前附表规定的优先次序推荐中标候选人或确定中标人。</w:t>
      </w:r>
    </w:p>
    <w:p>
      <w:pPr>
        <w:snapToGrid w:val="0"/>
        <w:spacing w:line="312" w:lineRule="auto"/>
        <w:rPr>
          <w:rFonts w:ascii="Times New Roman" w:hAnsi="Times New Roman" w:eastAsia="方正小标宋简体"/>
          <w:sz w:val="28"/>
          <w:szCs w:val="28"/>
          <w:highlight w:val="none"/>
        </w:rPr>
      </w:pPr>
      <w:r>
        <w:rPr>
          <w:rFonts w:ascii="Times New Roman" w:hAnsi="Times New Roman" w:eastAsia="方正小标宋简体"/>
          <w:sz w:val="28"/>
          <w:szCs w:val="28"/>
          <w:highlight w:val="none"/>
        </w:rPr>
        <w:t>2. 评审标准</w:t>
      </w:r>
    </w:p>
    <w:p>
      <w:pPr>
        <w:snapToGrid w:val="0"/>
        <w:spacing w:line="312" w:lineRule="auto"/>
        <w:rPr>
          <w:rFonts w:ascii="Times New Roman" w:hAnsi="Times New Roman" w:eastAsia="方正小标宋简体"/>
          <w:sz w:val="24"/>
          <w:szCs w:val="24"/>
          <w:highlight w:val="none"/>
        </w:rPr>
      </w:pPr>
      <w:r>
        <w:rPr>
          <w:rFonts w:ascii="Times New Roman" w:hAnsi="Times New Roman" w:eastAsia="方正小标宋简体"/>
          <w:sz w:val="24"/>
          <w:szCs w:val="24"/>
          <w:highlight w:val="none"/>
        </w:rPr>
        <w:t>2.1 初步评审标准</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2.1.1 形式评审标准：见评标办法前附表。</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2.1.2 资格评审标准：见评标办法前附表。</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2.1.3 响应性评审标准：见评标办法前附表。</w:t>
      </w:r>
    </w:p>
    <w:p>
      <w:pPr>
        <w:snapToGrid w:val="0"/>
        <w:spacing w:line="312" w:lineRule="auto"/>
        <w:rPr>
          <w:rFonts w:ascii="Times New Roman" w:hAnsi="Times New Roman" w:eastAsia="方正小标宋简体"/>
          <w:sz w:val="24"/>
          <w:szCs w:val="24"/>
          <w:highlight w:val="none"/>
        </w:rPr>
      </w:pPr>
      <w:r>
        <w:rPr>
          <w:rFonts w:ascii="Times New Roman" w:hAnsi="Times New Roman" w:eastAsia="方正小标宋简体"/>
          <w:sz w:val="24"/>
          <w:szCs w:val="24"/>
          <w:highlight w:val="none"/>
        </w:rPr>
        <w:t>2.2 分值构成与评分标准</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2.2.1 第一个信封评分分值构成</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（1）施工组织设计：见评标办法前附表；</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（2）主要人员：见评标办法前附表；</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（3）其他评分因素：见评标办法前附表。</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2.2.2第一个信封评分评分标准</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（1）施工组织设计评分标准：见评标办法前附表；</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（2）主要人员评分标准：见评标办法前附表；</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（3）其他因素评分标准：见评标办法前附表。</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2.2.3 第二个信封详细评审标准：见评标办法前附表。</w:t>
      </w:r>
    </w:p>
    <w:p>
      <w:pPr>
        <w:snapToGrid w:val="0"/>
        <w:spacing w:line="312" w:lineRule="auto"/>
        <w:rPr>
          <w:rFonts w:ascii="Times New Roman" w:hAnsi="Times New Roman" w:eastAsia="方正小标宋简体"/>
          <w:sz w:val="28"/>
          <w:szCs w:val="28"/>
          <w:highlight w:val="none"/>
        </w:rPr>
      </w:pPr>
      <w:r>
        <w:rPr>
          <w:rFonts w:ascii="Times New Roman" w:hAnsi="Times New Roman" w:eastAsia="方正小标宋简体"/>
          <w:sz w:val="28"/>
          <w:szCs w:val="28"/>
          <w:highlight w:val="none"/>
        </w:rPr>
        <w:t>3. 评标程序</w:t>
      </w:r>
    </w:p>
    <w:p>
      <w:pPr>
        <w:snapToGrid w:val="0"/>
        <w:spacing w:line="312" w:lineRule="auto"/>
        <w:rPr>
          <w:rFonts w:ascii="Times New Roman" w:hAnsi="Times New Roman" w:eastAsia="方正小标宋简体"/>
          <w:sz w:val="24"/>
          <w:szCs w:val="24"/>
          <w:highlight w:val="none"/>
        </w:rPr>
      </w:pPr>
      <w:r>
        <w:rPr>
          <w:rFonts w:ascii="Times New Roman" w:hAnsi="Times New Roman" w:eastAsia="方正小标宋简体"/>
          <w:sz w:val="24"/>
          <w:szCs w:val="24"/>
          <w:highlight w:val="none"/>
        </w:rPr>
        <w:t>3.1第一个信封初步评审</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3.1.1 评标委员会可以要求投标人提交第二章</w:t>
      </w:r>
      <w:r>
        <w:rPr>
          <w:rFonts w:hint="eastAsia" w:ascii="Times New Roman" w:hAnsi="Times New Roman"/>
          <w:sz w:val="22"/>
          <w:szCs w:val="22"/>
          <w:highlight w:val="none"/>
        </w:rPr>
        <w:t>“</w:t>
      </w:r>
      <w:r>
        <w:rPr>
          <w:rFonts w:ascii="Times New Roman" w:hAnsi="Times New Roman"/>
          <w:sz w:val="22"/>
          <w:szCs w:val="22"/>
          <w:highlight w:val="none"/>
        </w:rPr>
        <w:t>投标人须知</w:t>
      </w:r>
      <w:r>
        <w:rPr>
          <w:rFonts w:hint="eastAsia" w:ascii="Times New Roman" w:hAnsi="Times New Roman"/>
          <w:sz w:val="22"/>
          <w:szCs w:val="22"/>
          <w:highlight w:val="none"/>
        </w:rPr>
        <w:t>”</w:t>
      </w:r>
      <w:r>
        <w:rPr>
          <w:rFonts w:ascii="Times New Roman" w:hAnsi="Times New Roman"/>
          <w:sz w:val="22"/>
          <w:szCs w:val="22"/>
          <w:highlight w:val="none"/>
        </w:rPr>
        <w:t>第3.5.1项至第3.5.6项规定的有关证明和证件的原件，以便核验。评标委员会依据本章第2.1款规定的标准对投标文件第一个信封（商务及技术文件）进行初步评审。有一项不符合评审标准的，评标委员会应否决其投标。</w:t>
      </w:r>
    </w:p>
    <w:p>
      <w:pPr>
        <w:snapToGrid w:val="0"/>
        <w:spacing w:line="312" w:lineRule="auto"/>
        <w:rPr>
          <w:rFonts w:ascii="Times New Roman" w:hAnsi="Times New Roman" w:eastAsia="方正小标宋简体"/>
          <w:sz w:val="24"/>
          <w:szCs w:val="24"/>
          <w:highlight w:val="none"/>
        </w:rPr>
      </w:pPr>
      <w:r>
        <w:rPr>
          <w:rFonts w:ascii="Times New Roman" w:hAnsi="Times New Roman" w:eastAsia="方正小标宋简体"/>
          <w:sz w:val="24"/>
          <w:szCs w:val="24"/>
          <w:highlight w:val="none"/>
        </w:rPr>
        <w:t>3.2第一个信封详细评审</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3.2.1 评标委员会按本章第2.2款规定的量化因素和分值进行打分，并计算出各投标人的商务和技术得分。</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（1）按本章第2.2.2（1）目规定的评审因素和分值对施工组织设计部分计算出得分A；</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（2）按本章第2.2.2（2）目规定的评审因素和分值对主要人员部分计算出得分B；</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（3）按本章第2.2.2（3）目规定的评审因素和分值对其他部分计算出得分C。</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3.2.2 投标人的商务和技术得分分值计算保留小数点后两位，小数点后第三位</w:t>
      </w:r>
      <w:r>
        <w:rPr>
          <w:rFonts w:hint="eastAsia" w:ascii="Times New Roman" w:hAnsi="Times New Roman"/>
          <w:sz w:val="22"/>
          <w:szCs w:val="22"/>
          <w:highlight w:val="none"/>
        </w:rPr>
        <w:t>“</w:t>
      </w:r>
      <w:r>
        <w:rPr>
          <w:rFonts w:ascii="Times New Roman" w:hAnsi="Times New Roman"/>
          <w:sz w:val="22"/>
          <w:szCs w:val="22"/>
          <w:highlight w:val="none"/>
        </w:rPr>
        <w:t>四舍五入</w:t>
      </w:r>
      <w:r>
        <w:rPr>
          <w:rFonts w:hint="eastAsia" w:ascii="Times New Roman" w:hAnsi="Times New Roman"/>
          <w:sz w:val="22"/>
          <w:szCs w:val="22"/>
          <w:highlight w:val="none"/>
        </w:rPr>
        <w:t>”</w:t>
      </w:r>
      <w:r>
        <w:rPr>
          <w:rFonts w:ascii="Times New Roman" w:hAnsi="Times New Roman"/>
          <w:sz w:val="22"/>
          <w:szCs w:val="22"/>
          <w:highlight w:val="none"/>
        </w:rPr>
        <w:t>。</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3.2.3 投标人的商务和技术得分=A+B+C。</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3.2.4 评标委员会按照投标人的商务和技术得分由高到低排序，排名在评标办法前附表规定数量以内的投标人，其投标文件第一个信封（商务及技术文件）通过详细评审。</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3.2.5 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pPr>
        <w:snapToGrid w:val="0"/>
        <w:spacing w:line="312" w:lineRule="auto"/>
        <w:rPr>
          <w:rFonts w:ascii="Times New Roman" w:hAnsi="Times New Roman" w:eastAsia="方正小标宋简体"/>
          <w:sz w:val="24"/>
          <w:szCs w:val="24"/>
          <w:highlight w:val="none"/>
        </w:rPr>
      </w:pPr>
      <w:r>
        <w:rPr>
          <w:rFonts w:ascii="Times New Roman" w:hAnsi="Times New Roman" w:eastAsia="方正小标宋简体"/>
          <w:sz w:val="24"/>
          <w:szCs w:val="24"/>
          <w:highlight w:val="none"/>
        </w:rPr>
        <w:t>3.3第二个信封开标</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第一个信封（商务及技术文件）评审结束后，招标人将按照第二章</w:t>
      </w:r>
      <w:r>
        <w:rPr>
          <w:rFonts w:hint="eastAsia" w:ascii="Times New Roman" w:hAnsi="Times New Roman"/>
          <w:sz w:val="22"/>
          <w:szCs w:val="22"/>
          <w:highlight w:val="none"/>
        </w:rPr>
        <w:t>“</w:t>
      </w:r>
      <w:r>
        <w:rPr>
          <w:rFonts w:ascii="Times New Roman" w:hAnsi="Times New Roman"/>
          <w:sz w:val="22"/>
          <w:szCs w:val="22"/>
          <w:highlight w:val="none"/>
        </w:rPr>
        <w:t>投标人须知</w:t>
      </w:r>
      <w:r>
        <w:rPr>
          <w:rFonts w:hint="eastAsia" w:ascii="Times New Roman" w:hAnsi="Times New Roman"/>
          <w:sz w:val="22"/>
          <w:szCs w:val="22"/>
          <w:highlight w:val="none"/>
        </w:rPr>
        <w:t>”</w:t>
      </w:r>
      <w:r>
        <w:rPr>
          <w:rFonts w:ascii="Times New Roman" w:hAnsi="Times New Roman"/>
          <w:sz w:val="22"/>
          <w:szCs w:val="22"/>
          <w:highlight w:val="none"/>
        </w:rPr>
        <w:t>第5.1款规定的时间和地点对通过投标文件第一个信封（商务及技术文件）评审的投标文件第二个信封（报价文件）进行开标。</w:t>
      </w:r>
    </w:p>
    <w:p>
      <w:pPr>
        <w:snapToGrid w:val="0"/>
        <w:spacing w:line="312" w:lineRule="auto"/>
        <w:rPr>
          <w:rFonts w:ascii="Times New Roman" w:hAnsi="Times New Roman" w:eastAsia="方正小标宋简体"/>
          <w:sz w:val="24"/>
          <w:szCs w:val="24"/>
          <w:highlight w:val="none"/>
        </w:rPr>
      </w:pPr>
      <w:r>
        <w:rPr>
          <w:rFonts w:ascii="Times New Roman" w:hAnsi="Times New Roman" w:eastAsia="方正小标宋简体"/>
          <w:sz w:val="24"/>
          <w:szCs w:val="24"/>
          <w:highlight w:val="none"/>
        </w:rPr>
        <w:t>3.4第二个信封初步评审</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3.4.1 评标委员会依据本章第2.1.1项、第2.1.3项规定的评审标准对投标文件第二个信封（报价文件）进行初步评审。有一项不符合评审标准的，评标委员会应否决其投标。</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3.4.2</w:t>
      </w:r>
      <w:r>
        <w:rPr>
          <w:rStyle w:val="11"/>
          <w:sz w:val="22"/>
          <w:szCs w:val="22"/>
          <w:highlight w:val="none"/>
        </w:rPr>
        <w:footnoteReference w:id="0"/>
      </w:r>
      <w:r>
        <w:rPr>
          <w:rFonts w:ascii="Times New Roman" w:hAnsi="Times New Roman"/>
          <w:sz w:val="22"/>
          <w:szCs w:val="22"/>
          <w:highlight w:val="none"/>
        </w:rPr>
        <w:t xml:space="preserve"> 投标报价有算术错误的，评标委员会按以下原则对投标报价进行修正，修正的价格经投标人书面确认后具有约束力。投标人不接受修正价格的，评标委员会应否决其投标。</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 xml:space="preserve">（1）投标文件中的大写金额与小写金额不一致的，以大写金额为准； </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（2）总价金额与依据单价计算出的结果不一致的，以单价金额为准修正总价，但单价金额小数点有明显错误的除外；</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（3）当单价与数量相乘不等于合价时，以单价计算为准，如果单价有明显的小数点位置差错，应以标出的合价为准，同时对单价予以修正；</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（4）当各子目的合价累计不等于总价时，应以各子目合价累计数为准，修正总价。</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3.4.3 工程量清单中的投标报价有其他错误的，评标委员会按以下原则对投标报价进行修正，修正的价格经投标人书面确认后具有约束力。投标人不接受修正价格的，评标委员会应否决其投标。</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（3）当单价与数量的乘积与合价(金额)虽然一致，但投标人修改了该子目的工程数量，则其合价按招标人给定的工程数量乘以投标人所报单价予以修正。</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3.4.4 修正后的最终投标报价若超过最高投标限价（如有），评标委员会应否决其投标。</w:t>
      </w:r>
    </w:p>
    <w:p>
      <w:pPr>
        <w:snapToGrid w:val="0"/>
        <w:spacing w:line="312" w:lineRule="auto"/>
        <w:rPr>
          <w:rFonts w:ascii="Times New Roman" w:hAnsi="Times New Roman" w:eastAsia="方正小标宋简体"/>
          <w:sz w:val="24"/>
          <w:szCs w:val="24"/>
          <w:highlight w:val="none"/>
        </w:rPr>
      </w:pPr>
      <w:r>
        <w:rPr>
          <w:rFonts w:ascii="Times New Roman" w:hAnsi="Times New Roman" w:eastAsia="方正小标宋简体"/>
          <w:sz w:val="24"/>
          <w:szCs w:val="24"/>
          <w:highlight w:val="none"/>
        </w:rPr>
        <w:t>3.5 第二个信封详细评审</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3.5.1 评标委员会按本章第2.2款规定的量化因素和标准进行价格折算，计算出评标价，并编制价格比较一览表。</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3.5.2 评标委员会发现投标人的报价明显低于其他投标报价，使得其投标报价可能低于其个别成本的，应要求该投标人作出书面说明并提供相应的证明材料。投标人不能合理说明或者不能提供相应证明材料的，由评标委员会认定该投标人以低于成本报价竞标，并否决其投标。</w:t>
      </w:r>
    </w:p>
    <w:p>
      <w:pPr>
        <w:snapToGrid w:val="0"/>
        <w:spacing w:line="312" w:lineRule="auto"/>
        <w:rPr>
          <w:rFonts w:ascii="Times New Roman" w:hAnsi="Times New Roman" w:eastAsia="方正小标宋简体"/>
          <w:sz w:val="24"/>
          <w:szCs w:val="24"/>
          <w:highlight w:val="none"/>
        </w:rPr>
      </w:pPr>
      <w:r>
        <w:rPr>
          <w:rFonts w:ascii="Times New Roman" w:hAnsi="Times New Roman" w:eastAsia="方正小标宋简体"/>
          <w:sz w:val="24"/>
          <w:szCs w:val="24"/>
          <w:highlight w:val="none"/>
        </w:rPr>
        <w:t>3.6 投标文件相关信息的核查</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3.6.1在评标过程中，评标委员会应查询交通运输主管部门部</w:t>
      </w:r>
      <w:r>
        <w:rPr>
          <w:rFonts w:hint="eastAsia" w:ascii="Times New Roman" w:hAnsi="Times New Roman"/>
          <w:sz w:val="22"/>
          <w:szCs w:val="22"/>
          <w:highlight w:val="none"/>
        </w:rPr>
        <w:t>“</w:t>
      </w:r>
      <w:r>
        <w:rPr>
          <w:rFonts w:ascii="Times New Roman" w:hAnsi="Times New Roman"/>
          <w:sz w:val="22"/>
          <w:szCs w:val="22"/>
          <w:highlight w:val="none"/>
        </w:rPr>
        <w:t>公路建设市场信用信息管理系统</w:t>
      </w:r>
      <w:r>
        <w:rPr>
          <w:rFonts w:hint="eastAsia" w:ascii="Times New Roman" w:hAnsi="Times New Roman"/>
          <w:sz w:val="22"/>
          <w:szCs w:val="22"/>
          <w:highlight w:val="none"/>
        </w:rPr>
        <w:t>”</w:t>
      </w:r>
      <w:r>
        <w:rPr>
          <w:rFonts w:ascii="Times New Roman" w:hAnsi="Times New Roman"/>
          <w:sz w:val="22"/>
          <w:szCs w:val="22"/>
          <w:highlight w:val="none"/>
        </w:rPr>
        <w:t>，对投标人的资质、业绩、主要人员资历和目前在岗情况、信用等级等信息进行核实。若投标文件载明的信息与交通运输主管部门部</w:t>
      </w:r>
      <w:r>
        <w:rPr>
          <w:rFonts w:hint="eastAsia" w:ascii="Times New Roman" w:hAnsi="Times New Roman"/>
          <w:sz w:val="22"/>
          <w:szCs w:val="22"/>
          <w:highlight w:val="none"/>
        </w:rPr>
        <w:t>“</w:t>
      </w:r>
      <w:r>
        <w:rPr>
          <w:rFonts w:ascii="Times New Roman" w:hAnsi="Times New Roman"/>
          <w:sz w:val="22"/>
          <w:szCs w:val="22"/>
          <w:highlight w:val="none"/>
        </w:rPr>
        <w:t>公路建设市场信用信息管理系统</w:t>
      </w:r>
      <w:r>
        <w:rPr>
          <w:rFonts w:hint="eastAsia" w:ascii="Times New Roman" w:hAnsi="Times New Roman"/>
          <w:sz w:val="22"/>
          <w:szCs w:val="22"/>
          <w:highlight w:val="none"/>
        </w:rPr>
        <w:t>”</w:t>
      </w:r>
      <w:r>
        <w:rPr>
          <w:rFonts w:ascii="Times New Roman" w:hAnsi="Times New Roman"/>
          <w:sz w:val="22"/>
          <w:szCs w:val="22"/>
          <w:highlight w:val="none"/>
        </w:rPr>
        <w:t>发布的信息不符，使得投标人的资格条件不符合招标文件规定的，评标委员会应否决其投标。</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3.6.2 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（1）有下列情形之一的，属于投标人相互串通投标：</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a.投标人之间协商投标报价等投标文件的实质性内容；</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b.投标人之间约定中标人；</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c.投标人之间约定部分投标人放弃投标或者中标；</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d.属于同一集团、协会、商会等组织成员的投标人按照该组织要求协同投标；</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e.投标人之间为谋取中标或者排斥特定投标人而采取的其他联合行动。</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（2）有下列情形之一的，视为投标人相互串通投标：</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a.不同投标人的投标文件由同一单位或者个人编制；</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b.不同投标人委托同一单位或者个人办理投标事宜；</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c.不同投标人的投标文件载明的项目管理成员为同一人；</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d.不同投标人的投标文件异常一致或者投标报价呈规律性差异；</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e.不同投标人的投标文件相互混装；</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f.不同投标人的投标保证金从同一单位或者个人的账户转出。</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（3）有下列情形之一的，属于招标人与投标人串通投标：</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a.招标人在开标前开启投标文件并将有关信息泄露给其他投标人；</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b.招标人直接或者间接向投标人泄露标底、评标委员会成员等信息；</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c.招标人明示或者暗示投标人压低或者抬高投标报价；</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d.招标人授意投标人撤换、修改投标文件；</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e.招标人明示或者暗示投标人为特定投标人中标提供方便；</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f.招标人与投标人为谋求特定投标人中标而采取的其他串通行为。</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（4）投标人有下列情形之一的，属于弄虚作假的行为：</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a.使用通过受让或者租借等方式获取的资格、资质证书投标；</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b.使用伪造、变造的许可证件；</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c.提供虚假的财务状况或者业绩；</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d.提供虚假的项目负责人或者主要技术人员简历、劳动关系证明；</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e.提供虚假的信用状况；</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f.其他弄虚作假的行为。</w:t>
      </w:r>
    </w:p>
    <w:p>
      <w:pPr>
        <w:snapToGrid w:val="0"/>
        <w:spacing w:line="312" w:lineRule="auto"/>
        <w:rPr>
          <w:rFonts w:ascii="Times New Roman" w:hAnsi="Times New Roman" w:eastAsia="方正小标宋简体"/>
          <w:sz w:val="24"/>
          <w:szCs w:val="24"/>
          <w:highlight w:val="none"/>
        </w:rPr>
      </w:pPr>
      <w:r>
        <w:rPr>
          <w:rFonts w:ascii="Times New Roman" w:hAnsi="Times New Roman" w:eastAsia="方正小标宋简体"/>
          <w:sz w:val="24"/>
          <w:szCs w:val="24"/>
          <w:highlight w:val="none"/>
        </w:rPr>
        <w:t>3.7 投标文件的澄清和说明</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3.7.1 在评标过程中，评标委员会可以书面形式要求投标人对所提交投标文件中含义不明确的内容、明显文字或者计算错误进行书面澄清或说明。评标委员会不接受投标人主动提出的澄清、说明。投标人不按评标委员会要求澄清或说明的，评标委员会应否决其投标。</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3.7.2 澄清和说明不得超出投标文件的范围或者改变投标文件的实质性内容(算术性错误修正的除外)。投标人的书面澄清、说明属于投标文件的组成部分。</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3.7.3 评标委员会不得暗示或者诱导投标人作出澄清、说明，对投标人提交的澄清、说明有疑问的，可以要求投标人进一步澄清或说明，直至满足评标委员会的要求。</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3.7.4 凡超出招标文件规定的或给发包人带来未曾要求的利益的变化、偏差或其他因素在评标时不予考虑。</w:t>
      </w:r>
    </w:p>
    <w:p>
      <w:pPr>
        <w:snapToGrid w:val="0"/>
        <w:spacing w:line="312" w:lineRule="auto"/>
        <w:rPr>
          <w:rFonts w:ascii="Times New Roman" w:hAnsi="Times New Roman" w:eastAsia="方正小标宋简体"/>
          <w:sz w:val="24"/>
          <w:szCs w:val="24"/>
          <w:highlight w:val="none"/>
        </w:rPr>
      </w:pPr>
      <w:r>
        <w:rPr>
          <w:rFonts w:ascii="Times New Roman" w:hAnsi="Times New Roman" w:eastAsia="方正小标宋简体"/>
          <w:sz w:val="24"/>
          <w:szCs w:val="24"/>
          <w:highlight w:val="none"/>
        </w:rPr>
        <w:t>3.8 不得否决投标的情形</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投标文件存在第二章</w:t>
      </w:r>
      <w:r>
        <w:rPr>
          <w:rFonts w:hint="eastAsia" w:ascii="Times New Roman" w:hAnsi="Times New Roman"/>
          <w:sz w:val="22"/>
          <w:szCs w:val="22"/>
          <w:highlight w:val="none"/>
        </w:rPr>
        <w:t>“</w:t>
      </w:r>
      <w:r>
        <w:rPr>
          <w:rFonts w:ascii="Times New Roman" w:hAnsi="Times New Roman"/>
          <w:sz w:val="22"/>
          <w:szCs w:val="22"/>
          <w:highlight w:val="none"/>
        </w:rPr>
        <w:t>投标人须知</w:t>
      </w:r>
      <w:r>
        <w:rPr>
          <w:rFonts w:hint="eastAsia" w:ascii="Times New Roman" w:hAnsi="Times New Roman"/>
          <w:sz w:val="22"/>
          <w:szCs w:val="22"/>
          <w:highlight w:val="none"/>
        </w:rPr>
        <w:t>”</w:t>
      </w:r>
      <w:r>
        <w:rPr>
          <w:rFonts w:ascii="Times New Roman" w:hAnsi="Times New Roman"/>
          <w:sz w:val="22"/>
          <w:szCs w:val="22"/>
          <w:highlight w:val="none"/>
        </w:rPr>
        <w:t>第1.12.3项所列情形，均视为细微偏差，评标委员会不得否决投标人的投标，应按照第二章</w:t>
      </w:r>
      <w:r>
        <w:rPr>
          <w:rFonts w:hint="eastAsia" w:ascii="Times New Roman" w:hAnsi="Times New Roman"/>
          <w:sz w:val="22"/>
          <w:szCs w:val="22"/>
          <w:highlight w:val="none"/>
        </w:rPr>
        <w:t>“</w:t>
      </w:r>
      <w:r>
        <w:rPr>
          <w:rFonts w:ascii="Times New Roman" w:hAnsi="Times New Roman"/>
          <w:sz w:val="22"/>
          <w:szCs w:val="22"/>
          <w:highlight w:val="none"/>
        </w:rPr>
        <w:t>投标人须知</w:t>
      </w:r>
      <w:r>
        <w:rPr>
          <w:rFonts w:hint="eastAsia" w:ascii="Times New Roman" w:hAnsi="Times New Roman"/>
          <w:sz w:val="22"/>
          <w:szCs w:val="22"/>
          <w:highlight w:val="none"/>
        </w:rPr>
        <w:t>”</w:t>
      </w:r>
      <w:r>
        <w:rPr>
          <w:rFonts w:ascii="Times New Roman" w:hAnsi="Times New Roman"/>
          <w:sz w:val="22"/>
          <w:szCs w:val="22"/>
          <w:highlight w:val="none"/>
        </w:rPr>
        <w:t>第1.12.4项规定的原则处理。</w:t>
      </w:r>
    </w:p>
    <w:p>
      <w:pPr>
        <w:snapToGrid w:val="0"/>
        <w:spacing w:line="312" w:lineRule="auto"/>
        <w:rPr>
          <w:rFonts w:ascii="Times New Roman" w:hAnsi="Times New Roman" w:eastAsia="方正小标宋简体"/>
          <w:sz w:val="24"/>
          <w:szCs w:val="24"/>
          <w:highlight w:val="none"/>
        </w:rPr>
      </w:pPr>
      <w:r>
        <w:rPr>
          <w:rFonts w:ascii="Times New Roman" w:hAnsi="Times New Roman" w:eastAsia="方正小标宋简体"/>
          <w:sz w:val="24"/>
          <w:szCs w:val="24"/>
          <w:highlight w:val="none"/>
        </w:rPr>
        <w:t>3.9 评标结果</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3.9.1 除第二章</w:t>
      </w:r>
      <w:r>
        <w:rPr>
          <w:rFonts w:hint="eastAsia" w:ascii="Times New Roman" w:hAnsi="Times New Roman"/>
          <w:sz w:val="22"/>
          <w:szCs w:val="22"/>
          <w:highlight w:val="none"/>
        </w:rPr>
        <w:t>“</w:t>
      </w:r>
      <w:r>
        <w:rPr>
          <w:rFonts w:ascii="Times New Roman" w:hAnsi="Times New Roman"/>
          <w:sz w:val="22"/>
          <w:szCs w:val="22"/>
          <w:highlight w:val="none"/>
        </w:rPr>
        <w:t>投标人须知</w:t>
      </w:r>
      <w:r>
        <w:rPr>
          <w:rFonts w:hint="eastAsia" w:ascii="Times New Roman" w:hAnsi="Times New Roman"/>
          <w:sz w:val="22"/>
          <w:szCs w:val="22"/>
          <w:highlight w:val="none"/>
        </w:rPr>
        <w:t>”</w:t>
      </w:r>
      <w:r>
        <w:rPr>
          <w:rFonts w:ascii="Times New Roman" w:hAnsi="Times New Roman"/>
          <w:sz w:val="22"/>
          <w:szCs w:val="22"/>
          <w:highlight w:val="none"/>
        </w:rPr>
        <w:t>前附表授权直接确定中标人外，评标委员会按照评标价由低到高的顺序推荐中标候选人,并标明排序。</w:t>
      </w:r>
    </w:p>
    <w:p>
      <w:pPr>
        <w:snapToGrid w:val="0"/>
        <w:spacing w:line="312" w:lineRule="auto"/>
        <w:ind w:firstLine="440" w:firstLineChars="200"/>
        <w:rPr>
          <w:rFonts w:ascii="Times New Roman" w:hAnsi="Times New Roman"/>
          <w:sz w:val="22"/>
          <w:szCs w:val="22"/>
          <w:highlight w:val="none"/>
        </w:rPr>
      </w:pPr>
      <w:r>
        <w:rPr>
          <w:rFonts w:ascii="Times New Roman" w:hAnsi="Times New Roman"/>
          <w:sz w:val="22"/>
          <w:szCs w:val="22"/>
          <w:highlight w:val="none"/>
        </w:rPr>
        <w:t>3.9.2 评标委员会完成评标后，应向招标人提交书面评标报告。</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pPr>
      <w:r>
        <w:rPr>
          <w:rStyle w:val="11"/>
          <w:sz w:val="22"/>
        </w:rPr>
        <w:footnoteRef/>
      </w:r>
      <w:r>
        <w:t xml:space="preserve"> </w:t>
      </w:r>
      <w:r>
        <w:rPr>
          <w:rFonts w:hint="eastAsia" w:hAnsi="宋体" w:cs="宋体"/>
        </w:rPr>
        <w:t xml:space="preserve"> 如本项目招标采用第二章</w:t>
      </w:r>
      <w:r>
        <w:rPr>
          <w:rFonts w:hint="eastAsia" w:hAnsi="宋体" w:cs="宋体"/>
          <w:lang w:eastAsia="zh-CN"/>
        </w:rPr>
        <w:t>“</w:t>
      </w:r>
      <w:r>
        <w:rPr>
          <w:rFonts w:hint="eastAsia" w:hAnsi="宋体" w:cs="宋体"/>
        </w:rPr>
        <w:t>投标人须知</w:t>
      </w:r>
      <w:r>
        <w:rPr>
          <w:rFonts w:hint="eastAsia" w:hAnsi="宋体" w:cs="宋体"/>
          <w:lang w:eastAsia="zh-CN"/>
        </w:rPr>
        <w:t>”</w:t>
      </w:r>
      <w:r>
        <w:rPr>
          <w:rFonts w:hint="eastAsia" w:hAnsi="宋体" w:cs="宋体"/>
        </w:rPr>
        <w:t>第3.2.1项(2)目规定的由投标人按照招标人提供的工程量清单填写本合同各工程子目的单价、合价和总额价方式，则评标委员会按照本章第3.4.2项和第3.4.3项的规定对投标人的投标报价进行修正。如本项目招标采用第二章</w:t>
      </w:r>
      <w:r>
        <w:rPr>
          <w:rFonts w:hint="eastAsia" w:hAnsi="宋体" w:cs="宋体"/>
          <w:lang w:eastAsia="zh-CN"/>
        </w:rPr>
        <w:t>“</w:t>
      </w:r>
      <w:r>
        <w:rPr>
          <w:rFonts w:hint="eastAsia" w:hAnsi="宋体" w:cs="宋体"/>
        </w:rPr>
        <w:t>投标人须知</w:t>
      </w:r>
      <w:r>
        <w:rPr>
          <w:rFonts w:hint="eastAsia" w:hAnsi="宋体" w:cs="宋体"/>
          <w:lang w:eastAsia="zh-CN"/>
        </w:rPr>
        <w:t>”</w:t>
      </w:r>
      <w:r>
        <w:rPr>
          <w:rFonts w:hint="eastAsia" w:hAnsi="宋体" w:cs="宋体"/>
        </w:rPr>
        <w:t>第3.2.1项(1)目规定的投标人按照招标人提供的工程量固化清单电子文件填写工程量清单的，无须按照本章第3.4.2项和第3.4.3项的规定对投标报价进行修正，第3.4.2项至第3.4.4项内容不适用。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64A93"/>
    <w:rsid w:val="518D6F26"/>
    <w:rsid w:val="6996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1"/>
      <w:lang w:val="en-US" w:eastAsia="zh-CN" w:bidi="ar-SA"/>
    </w:rPr>
  </w:style>
  <w:style w:type="paragraph" w:styleId="5">
    <w:name w:val="heading 1"/>
    <w:basedOn w:val="1"/>
    <w:next w:val="1"/>
    <w:link w:val="12"/>
    <w:qFormat/>
    <w:uiPriority w:val="0"/>
    <w:pPr>
      <w:keepNext/>
      <w:keepLines/>
      <w:spacing w:before="340" w:beforeLines="0" w:after="330" w:afterLines="0" w:line="336" w:lineRule="auto"/>
      <w:jc w:val="center"/>
      <w:outlineLvl w:val="0"/>
    </w:pPr>
    <w:rPr>
      <w:rFonts w:ascii="Times New Roman" w:hAnsi="Times New Roman"/>
      <w:b/>
      <w:bCs/>
      <w:kern w:val="44"/>
      <w:sz w:val="44"/>
      <w:szCs w:val="44"/>
    </w:rPr>
  </w:style>
  <w:style w:type="paragraph" w:styleId="6">
    <w:name w:val="heading 3"/>
    <w:basedOn w:val="1"/>
    <w:next w:val="1"/>
    <w:link w:val="14"/>
    <w:qFormat/>
    <w:uiPriority w:val="0"/>
    <w:pPr>
      <w:keepNext/>
      <w:keepLines/>
      <w:widowControl/>
      <w:tabs>
        <w:tab w:val="left" w:pos="3229"/>
      </w:tabs>
      <w:spacing w:before="120" w:after="120" w:line="240" w:lineRule="auto"/>
      <w:ind w:left="0" w:firstLine="0"/>
      <w:jc w:val="center"/>
      <w:outlineLvl w:val="2"/>
    </w:pPr>
    <w:rPr>
      <w:rFonts w:ascii="Times New Roman" w:hAnsi="Times New Roman"/>
      <w:b/>
      <w:kern w:val="2"/>
      <w:sz w:val="30"/>
      <w:szCs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afterLines="0"/>
      <w:ind w:left="420" w:leftChars="200"/>
    </w:pPr>
    <w:rPr>
      <w:rFonts w:ascii="Times New Roman" w:hAnsi="Times New Roman"/>
      <w:kern w:val="2"/>
      <w:szCs w:val="24"/>
    </w:rPr>
  </w:style>
  <w:style w:type="paragraph" w:styleId="4">
    <w:name w:val="envelope return"/>
    <w:basedOn w:val="1"/>
    <w:qFormat/>
    <w:uiPriority w:val="0"/>
    <w:pPr>
      <w:snapToGrid w:val="0"/>
    </w:pPr>
    <w:rPr>
      <w:rFonts w:ascii="Arial" w:hAnsi="Arial"/>
    </w:rPr>
  </w:style>
  <w:style w:type="paragraph" w:styleId="7">
    <w:name w:val="Body Text"/>
    <w:basedOn w:val="1"/>
    <w:uiPriority w:val="0"/>
    <w:pPr>
      <w:spacing w:after="120" w:afterLines="0"/>
    </w:pPr>
    <w:rPr>
      <w:rFonts w:ascii="Times New Roman" w:hAnsi="Times New Roman"/>
      <w:kern w:val="2"/>
      <w:szCs w:val="24"/>
    </w:rPr>
  </w:style>
  <w:style w:type="paragraph" w:styleId="8">
    <w:name w:val="footnote text"/>
    <w:basedOn w:val="1"/>
    <w:uiPriority w:val="0"/>
    <w:pPr>
      <w:snapToGrid w:val="0"/>
      <w:jc w:val="left"/>
    </w:pPr>
    <w:rPr>
      <w:rFonts w:ascii="Times New Roman" w:hAnsi="Times New Roman"/>
      <w:kern w:val="2"/>
      <w:sz w:val="18"/>
      <w:szCs w:val="18"/>
    </w:rPr>
  </w:style>
  <w:style w:type="character" w:styleId="11">
    <w:name w:val="footnote reference"/>
    <w:basedOn w:val="10"/>
    <w:qFormat/>
    <w:uiPriority w:val="0"/>
    <w:rPr>
      <w:vertAlign w:val="superscript"/>
    </w:rPr>
  </w:style>
  <w:style w:type="character" w:customStyle="1" w:styleId="12">
    <w:name w:val="标题 1 Char"/>
    <w:link w:val="5"/>
    <w:qFormat/>
    <w:uiPriority w:val="0"/>
    <w:rPr>
      <w:rFonts w:ascii="Times New Roman" w:hAnsi="Times New Roman"/>
      <w:b/>
      <w:bCs/>
      <w:kern w:val="44"/>
      <w:sz w:val="44"/>
      <w:szCs w:val="44"/>
    </w:rPr>
  </w:style>
  <w:style w:type="paragraph" w:customStyle="1" w:styleId="13">
    <w:name w:val="Table Paragraph"/>
    <w:basedOn w:val="1"/>
    <w:qFormat/>
    <w:uiPriority w:val="1"/>
    <w:rPr>
      <w:rFonts w:ascii="宋体" w:hAnsi="宋体" w:cs="宋体"/>
    </w:rPr>
  </w:style>
  <w:style w:type="character" w:customStyle="1" w:styleId="14">
    <w:name w:val="标题 3 Char"/>
    <w:link w:val="6"/>
    <w:uiPriority w:val="0"/>
    <w:rPr>
      <w:rFonts w:ascii="Times New Roman" w:hAnsi="Times New Roman"/>
      <w:b/>
      <w:kern w:val="2"/>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2020-04-16T03:56:00Z</dcterms:created>
  <dc:creator>吴</dc:creator>
  <cp:lastModifiedBy>吴</cp:lastModifiedBy>
  <dcterms:modified xsi:type="dcterms:W3CDTF">2020-04-16T03:57:30Z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