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color w:val="auto"/>
          <w:sz w:val="24"/>
          <w:highlight w:val="none"/>
        </w:rPr>
      </w:pPr>
    </w:p>
    <w:p>
      <w:pPr>
        <w:widowControl/>
        <w:jc w:val="center"/>
        <w:rPr>
          <w:rFonts w:ascii="Times New Roman" w:hAnsi="Times New Roman" w:eastAsia="宋体" w:cs="Times New Roman"/>
          <w:color w:val="auto"/>
          <w:sz w:val="24"/>
          <w:highlight w:val="none"/>
        </w:rPr>
      </w:pPr>
    </w:p>
    <w:p>
      <w:pPr>
        <w:widowControl/>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驿达公司餐饮原辅材料采购供应商入库</w:t>
      </w:r>
    </w:p>
    <w:p>
      <w:pPr>
        <w:widowControl/>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项目（</w:t>
      </w:r>
      <w:r>
        <w:rPr>
          <w:rFonts w:hint="eastAsia" w:ascii="方正小标宋简体" w:hAnsi="方正小标宋简体" w:eastAsia="方正小标宋简体" w:cs="方正小标宋简体"/>
          <w:color w:val="auto"/>
          <w:sz w:val="44"/>
          <w:szCs w:val="44"/>
          <w:highlight w:val="none"/>
          <w:lang w:val="en-US" w:eastAsia="zh-CN"/>
        </w:rPr>
        <w:t>2024年</w:t>
      </w:r>
      <w:r>
        <w:rPr>
          <w:rFonts w:hint="eastAsia" w:ascii="方正小标宋简体" w:hAnsi="方正小标宋简体" w:eastAsia="方正小标宋简体" w:cs="方正小标宋简体"/>
          <w:color w:val="auto"/>
          <w:sz w:val="44"/>
          <w:szCs w:val="44"/>
          <w:highlight w:val="none"/>
          <w:lang w:eastAsia="zh-CN"/>
        </w:rPr>
        <w:t>第一次公开询比</w:t>
      </w:r>
      <w:r>
        <w:rPr>
          <w:rFonts w:hint="eastAsia" w:ascii="方正小标宋简体" w:hAnsi="方正小标宋简体" w:eastAsia="方正小标宋简体" w:cs="方正小标宋简体"/>
          <w:color w:val="auto"/>
          <w:sz w:val="44"/>
          <w:szCs w:val="44"/>
          <w:highlight w:val="none"/>
        </w:rPr>
        <w:t>）</w:t>
      </w:r>
    </w:p>
    <w:p>
      <w:pPr>
        <w:pStyle w:val="4"/>
        <w:widowControl/>
        <w:jc w:val="center"/>
        <w:rPr>
          <w:rFonts w:hint="eastAsia" w:ascii="Times New Roman" w:hAnsi="Times New Roman" w:eastAsia="黑体" w:cs="Times New Roman"/>
          <w:color w:val="auto"/>
          <w:sz w:val="32"/>
          <w:szCs w:val="32"/>
          <w:highlight w:val="none"/>
          <w:lang w:val="en-US" w:eastAsia="zh-CN"/>
        </w:rPr>
      </w:pPr>
      <w:r>
        <w:rPr>
          <w:rFonts w:hint="eastAsia"/>
          <w:color w:val="auto"/>
          <w:highlight w:val="none"/>
        </w:rPr>
        <w:t>编号：YDCYYCL-0</w:t>
      </w:r>
      <w:r>
        <w:rPr>
          <w:rFonts w:hint="eastAsia"/>
          <w:color w:val="auto"/>
          <w:highlight w:val="none"/>
          <w:lang w:val="en-US" w:eastAsia="zh-CN"/>
        </w:rPr>
        <w:t>4</w:t>
      </w:r>
    </w:p>
    <w:p>
      <w:pPr>
        <w:spacing w:line="540" w:lineRule="exact"/>
        <w:ind w:firstLine="420"/>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jc w:val="center"/>
        <w:rPr>
          <w:rFonts w:ascii="Times New Roman" w:hAnsi="Times New Roman" w:eastAsia="黑体" w:cs="Times New Roman"/>
          <w:color w:val="auto"/>
          <w:sz w:val="72"/>
          <w:szCs w:val="72"/>
          <w:highlight w:val="none"/>
        </w:rPr>
      </w:pPr>
      <w:r>
        <w:rPr>
          <w:rFonts w:ascii="Times New Roman" w:hAnsi="Times New Roman" w:eastAsia="黑体" w:cs="Times New Roman"/>
          <w:color w:val="auto"/>
          <w:sz w:val="72"/>
          <w:szCs w:val="72"/>
          <w:highlight w:val="none"/>
        </w:rPr>
        <w:t>询  比  文  件</w:t>
      </w: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640"/>
        <w:rPr>
          <w:rFonts w:ascii="Times New Roman" w:hAnsi="Times New Roman" w:eastAsia="黑体" w:cs="Times New Roman"/>
          <w:color w:val="auto"/>
          <w:sz w:val="32"/>
          <w:szCs w:val="32"/>
          <w:highlight w:val="none"/>
        </w:rPr>
      </w:pPr>
    </w:p>
    <w:p>
      <w:pPr>
        <w:spacing w:line="540" w:lineRule="exact"/>
        <w:ind w:left="1896" w:leftChars="903"/>
        <w:rPr>
          <w:rFonts w:ascii="Times New Roman" w:hAnsi="Times New Roman" w:cs="Times New Roman"/>
          <w:color w:val="auto"/>
          <w:szCs w:val="21"/>
          <w:highlight w:val="none"/>
        </w:rPr>
      </w:pPr>
    </w:p>
    <w:p>
      <w:pPr>
        <w:snapToGrid w:val="0"/>
        <w:spacing w:line="360" w:lineRule="auto"/>
        <w:jc w:val="center"/>
        <w:rPr>
          <w:rFonts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采 购 人：</w:t>
      </w:r>
      <w:r>
        <w:rPr>
          <w:rFonts w:hint="eastAsia" w:ascii="仿宋" w:hAnsi="仿宋" w:eastAsia="仿宋" w:cs="仿宋"/>
          <w:color w:val="auto"/>
          <w:sz w:val="32"/>
          <w:szCs w:val="32"/>
          <w:highlight w:val="none"/>
        </w:rPr>
        <w:t>安徽省驿达高速公路服务区经营管理有限公司</w:t>
      </w:r>
    </w:p>
    <w:p>
      <w:pPr>
        <w:snapToGrid w:val="0"/>
        <w:ind w:left="1896" w:leftChars="903"/>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w:t>
      </w:r>
    </w:p>
    <w:p>
      <w:pPr>
        <w:snapToGrid w:val="0"/>
        <w:ind w:left="1896" w:leftChars="903"/>
        <w:rPr>
          <w:rFonts w:ascii="Times New Roman" w:hAnsi="Times New Roman" w:cs="Times New Roman"/>
          <w:color w:val="auto"/>
          <w:sz w:val="32"/>
          <w:szCs w:val="32"/>
          <w:highlight w:val="none"/>
        </w:r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w:t>
      </w:r>
      <w:r>
        <w:rPr>
          <w:rFonts w:hint="eastAsia" w:ascii="Times New Roman" w:hAnsi="Times New Roman" w:eastAsia="黑体" w:cs="Times New Roman"/>
          <w:color w:val="auto"/>
          <w:sz w:val="32"/>
          <w:szCs w:val="32"/>
          <w:highlight w:val="none"/>
          <w:u w:val="single"/>
          <w:lang w:val="en-US" w:eastAsia="zh-CN"/>
        </w:rPr>
        <w:t>4</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6</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11</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日</w:t>
      </w:r>
    </w:p>
    <w:p>
      <w:pPr>
        <w:ind w:left="1896" w:leftChars="903"/>
        <w:rPr>
          <w:rFonts w:ascii="Times New Roman" w:hAnsi="Times New Roman" w:eastAsia="宋体" w:cs="Times New Roman"/>
          <w:color w:val="auto"/>
          <w:sz w:val="24"/>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color w:val="auto"/>
          <w:kern w:val="0"/>
          <w:sz w:val="20"/>
          <w:szCs w:val="20"/>
          <w:highlight w:val="none"/>
        </w:rPr>
        <w:id w:val="-1923714668"/>
        <w:docPartObj>
          <w:docPartGallery w:val="Table of Contents"/>
          <w:docPartUnique/>
        </w:docPartObj>
      </w:sdtPr>
      <w:sdtEndPr>
        <w:rPr>
          <w:rFonts w:ascii="宋体" w:hAnsi="宋体" w:eastAsia="宋体"/>
          <w:color w:val="auto"/>
          <w:kern w:val="0"/>
          <w:sz w:val="20"/>
          <w:szCs w:val="20"/>
          <w:highlight w:val="none"/>
        </w:rPr>
      </w:sdtEndPr>
      <w:sdtContent>
        <w:p>
          <w:pPr>
            <w:jc w:val="center"/>
            <w:rPr>
              <w:rFonts w:ascii="Times New Roman" w:hAnsi="Times New Roman" w:cs="Times New Roman"/>
              <w:color w:val="auto"/>
              <w:sz w:val="28"/>
              <w:szCs w:val="28"/>
              <w:highlight w:val="none"/>
            </w:rPr>
          </w:pPr>
          <w:bookmarkStart w:id="0" w:name="_Toc32756_WPSOffice_Type1"/>
          <w:r>
            <w:rPr>
              <w:rFonts w:ascii="Times New Roman" w:hAnsi="Times New Roman" w:eastAsia="宋体" w:cs="Times New Roman"/>
              <w:color w:val="auto"/>
              <w:sz w:val="28"/>
              <w:szCs w:val="28"/>
              <w:highlight w:val="none"/>
            </w:rPr>
            <w:t>目  录</w:t>
          </w:r>
        </w:p>
        <w:p>
          <w:pPr>
            <w:pStyle w:val="32"/>
            <w:tabs>
              <w:tab w:val="right" w:leader="dot" w:pos="8312"/>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"_Toc14444_WPSOffice_Level1"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47458470"/>
              <w:placeholder>
                <w:docPart w:val="{c8a9a6cb-a1f7-4b84-9373-2edd644339a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bookmarkStart w:id="1" w:name="_Toc14444_WPSOffice_Level1Page"/>
          <w:r>
            <w:rPr>
              <w:rFonts w:ascii="Times New Roman" w:hAnsi="Times New Roman" w:cs="Times New Roman"/>
              <w:color w:val="auto"/>
              <w:sz w:val="28"/>
              <w:szCs w:val="28"/>
              <w:highlight w:val="none"/>
            </w:rPr>
            <w:t>1</w:t>
          </w:r>
          <w:bookmarkEnd w:id="1"/>
          <w:r>
            <w:rPr>
              <w:rFonts w:ascii="Times New Roman" w:hAnsi="Times New Roman" w:cs="Times New Roman"/>
              <w:color w:val="auto"/>
              <w:sz w:val="28"/>
              <w:szCs w:val="28"/>
              <w:highlight w:val="none"/>
            </w:rPr>
            <w:fldChar w:fldCharType="end"/>
          </w:r>
        </w:p>
        <w:p>
          <w:pPr>
            <w:pStyle w:val="32"/>
            <w:tabs>
              <w:tab w:val="right" w:leader="dot" w:pos="8312"/>
            </w:tabs>
            <w:rPr>
              <w:rFonts w:hint="eastAsia" w:ascii="Times New Roman" w:hAnsi="Times New Roman" w:cs="Times New Roman" w:eastAsiaTheme="minorEastAsia"/>
              <w:color w:val="auto"/>
              <w:sz w:val="28"/>
              <w:szCs w:val="28"/>
              <w:highlight w:val="none"/>
              <w:lang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7fdad3b4-9ee4-4e80-9d97-80df2dbca69a}"/>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"_Toc13164_WPSOffice_Level1"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828549816"/>
              <w:placeholder>
                <w:docPart w:val="{788027fb-b3e0-4a85-bc38-de37ec7652d7}"/>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9</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"_Toc23189_WPSOffice_Level1"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9823967"/>
              <w:placeholder>
                <w:docPart w:val="{fcc751fe-a6d2-4ea6-b727-fa1a4c8b03a0}"/>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第四章 </w:t>
              </w:r>
              <w:r>
                <w:rPr>
                  <w:rFonts w:hint="eastAsia" w:ascii="Times New Roman" w:hAnsi="Times New Roman" w:eastAsia="宋体" w:cs="Times New Roman"/>
                  <w:color w:val="auto"/>
                  <w:sz w:val="28"/>
                  <w:szCs w:val="28"/>
                  <w:highlight w:val="none"/>
                  <w:lang w:eastAsia="zh-CN"/>
                </w:rPr>
                <w:t>入围通知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13</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"_Toc19582_WPSOffice_Level1"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238983862"/>
              <w:placeholder>
                <w:docPart w:val="{e17d51cb-b056-41c8-bdce-39a68f953c19}"/>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rPr>
                <w:t>采购需求</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15</w:t>
          </w:r>
        </w:p>
        <w:p>
          <w:pPr>
            <w:pStyle w:val="32"/>
            <w:tabs>
              <w:tab w:val="right" w:leader="dot" w:pos="8312"/>
            </w:tabs>
            <w:rPr>
              <w:color w:val="auto"/>
              <w:highlight w:val="none"/>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3e07b888-124e-431c-87b5-4e5e31b77fc3}"/>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rPr>
                <w:t>六</w:t>
              </w:r>
              <w:r>
                <w:rPr>
                  <w:rFonts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16</w:t>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pPr>
            <w:pStyle w:val="32"/>
            <w:tabs>
              <w:tab w:val="right" w:leader="dot" w:pos="8312"/>
            </w:tabs>
            <w:rPr>
              <w:color w:val="auto"/>
              <w:highlight w:val="none"/>
            </w:rPr>
          </w:pPr>
        </w:p>
      </w:sdtContent>
    </w:sdt>
    <w:bookmarkEnd w:id="0"/>
    <w:p>
      <w:pPr>
        <w:jc w:val="center"/>
        <w:rPr>
          <w:rFonts w:ascii="宋体" w:hAnsi="宋体" w:eastAsia="宋体"/>
          <w:color w:val="auto"/>
          <w:highlight w:val="none"/>
        </w:rPr>
      </w:pPr>
    </w:p>
    <w:p>
      <w:pPr>
        <w:jc w:val="center"/>
        <w:rPr>
          <w:rFonts w:ascii="Times New Roman" w:hAnsi="Times New Roman" w:eastAsia="宋体" w:cs="Times New Roman"/>
          <w:color w:val="auto"/>
          <w:highlight w:val="none"/>
        </w:rPr>
      </w:pPr>
    </w:p>
    <w:p>
      <w:pPr>
        <w:jc w:val="center"/>
        <w:rPr>
          <w:rFonts w:ascii="Times New Roman" w:hAnsi="Times New Roman" w:eastAsia="宋体" w:cs="Times New Roman"/>
          <w:color w:val="auto"/>
          <w:highlight w:val="none"/>
        </w:rPr>
      </w:pPr>
    </w:p>
    <w:p>
      <w:pPr>
        <w:jc w:val="center"/>
        <w:rPr>
          <w:rFonts w:ascii="Times New Roman" w:hAnsi="Times New Roman" w:eastAsia="宋体" w:cs="Times New Roman"/>
          <w:color w:val="auto"/>
          <w:highlight w:val="none"/>
        </w:rPr>
      </w:pPr>
    </w:p>
    <w:p>
      <w:pPr>
        <w:pStyle w:val="2"/>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2"/>
        <w:spacing w:before="312" w:after="312"/>
        <w:rPr>
          <w:rFonts w:ascii="Times New Roman" w:hAnsi="Times New Roman" w:eastAsia="宋体" w:cs="Times New Roman"/>
          <w:color w:val="auto"/>
          <w:highlight w:val="none"/>
        </w:rPr>
      </w:pPr>
      <w:bookmarkStart w:id="2" w:name="_Toc14444_WPSOffice_Level1"/>
      <w:r>
        <w:rPr>
          <w:rFonts w:ascii="Times New Roman" w:hAnsi="Times New Roman" w:eastAsia="宋体" w:cs="Times New Roman"/>
          <w:color w:val="auto"/>
          <w:highlight w:val="none"/>
        </w:rPr>
        <w:t>采购公告</w:t>
      </w:r>
      <w:bookmarkEnd w:id="2"/>
    </w:p>
    <w:p>
      <w:pPr>
        <w:pStyle w:val="3"/>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 w:name="_Toc525632585"/>
      <w:bookmarkStart w:id="4" w:name="_Toc12765"/>
      <w:bookmarkStart w:id="5" w:name="_Toc10395_WPSOffice_Level2"/>
      <w:bookmarkStart w:id="6" w:name="_Toc13871"/>
      <w:bookmarkStart w:id="7" w:name="_Toc6496_WPSOffice_Level2"/>
      <w:bookmarkStart w:id="8" w:name="_Toc24354_WPSOffice_Level2"/>
      <w:bookmarkStart w:id="9" w:name="_Toc4489_WPSOffice_Level2"/>
      <w:r>
        <w:rPr>
          <w:rFonts w:ascii="Times New Roman" w:hAnsi="Times New Roman" w:eastAsia="黑体" w:cs="Times New Roman"/>
          <w:bCs w:val="0"/>
          <w:color w:val="auto"/>
          <w:sz w:val="22"/>
          <w:szCs w:val="15"/>
          <w:highlight w:val="none"/>
        </w:rPr>
        <w:t>项目简介</w:t>
      </w:r>
      <w:bookmarkEnd w:id="3"/>
      <w:bookmarkEnd w:id="4"/>
      <w:bookmarkEnd w:id="5"/>
      <w:bookmarkEnd w:id="6"/>
      <w:bookmarkEnd w:id="7"/>
      <w:bookmarkEnd w:id="8"/>
      <w:bookmarkEnd w:id="9"/>
    </w:p>
    <w:p>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rPr>
        <w:t>驿达公司餐饮原辅材料采购供应商入库项目（</w:t>
      </w:r>
      <w:r>
        <w:rPr>
          <w:rFonts w:hint="eastAsia" w:ascii="Times New Roman" w:hAnsi="Times New Roman" w:cs="Times New Roman"/>
          <w:color w:val="auto"/>
          <w:szCs w:val="22"/>
          <w:highlight w:val="none"/>
          <w:lang w:val="en-US" w:eastAsia="zh-CN"/>
        </w:rPr>
        <w:t>2024年</w:t>
      </w:r>
      <w:r>
        <w:rPr>
          <w:rFonts w:hint="eastAsia" w:ascii="Times New Roman" w:hAnsi="Times New Roman" w:cs="Times New Roman"/>
          <w:color w:val="auto"/>
          <w:szCs w:val="22"/>
          <w:highlight w:val="none"/>
        </w:rPr>
        <w:t>第一次公开询比）</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人：安徽省驿达高速公路服务区经营管理有限公司</w:t>
      </w:r>
    </w:p>
    <w:p>
      <w:pPr>
        <w:snapToGrid w:val="0"/>
        <w:spacing w:line="440" w:lineRule="exact"/>
        <w:ind w:firstLine="420" w:firstLineChars="200"/>
        <w:rPr>
          <w:rFonts w:ascii="Times New Roman" w:hAnsi="Times New Roman" w:eastAsia="宋体" w:cs="Times New Roman"/>
          <w:color w:val="auto"/>
          <w:szCs w:val="22"/>
          <w:highlight w:val="none"/>
          <w:u w:val="singl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u w:val="single"/>
        </w:rPr>
        <w:t>安徽交控集团所辖子公司、分公司、路段管理中心等餐厅、员工食堂</w:t>
      </w:r>
      <w:r>
        <w:rPr>
          <w:rFonts w:hint="eastAsia" w:ascii="Times New Roman" w:hAnsi="Times New Roman" w:cs="Times New Roman"/>
          <w:color w:val="auto"/>
          <w:szCs w:val="22"/>
          <w:highlight w:val="none"/>
          <w:u w:val="single"/>
          <w:lang w:val="en-US" w:eastAsia="zh-CN"/>
        </w:rPr>
        <w:t>餐饮</w:t>
      </w:r>
      <w:r>
        <w:rPr>
          <w:rFonts w:hint="eastAsia" w:ascii="Times New Roman" w:hAnsi="Times New Roman" w:cs="Times New Roman"/>
          <w:color w:val="auto"/>
          <w:szCs w:val="22"/>
          <w:highlight w:val="none"/>
          <w:u w:val="single"/>
        </w:rPr>
        <w:t>原辅材料</w:t>
      </w:r>
      <w:r>
        <w:rPr>
          <w:rFonts w:hint="eastAsia" w:ascii="Times New Roman" w:hAnsi="Times New Roman" w:cs="Times New Roman"/>
          <w:color w:val="auto"/>
          <w:szCs w:val="22"/>
          <w:highlight w:val="none"/>
          <w:u w:val="single"/>
          <w:lang w:val="en-US" w:eastAsia="zh-CN"/>
        </w:rPr>
        <w:t>采购</w:t>
      </w:r>
      <w:r>
        <w:rPr>
          <w:rFonts w:hint="eastAsia" w:ascii="Times New Roman" w:hAnsi="Times New Roman" w:cs="Times New Roman"/>
          <w:color w:val="auto"/>
          <w:szCs w:val="22"/>
          <w:highlight w:val="none"/>
          <w:u w:val="single"/>
        </w:rPr>
        <w:t>，年度项目估算配送</w:t>
      </w:r>
      <w:r>
        <w:rPr>
          <w:rFonts w:ascii="Times New Roman" w:hAnsi="Times New Roman" w:cs="Times New Roman"/>
          <w:color w:val="auto"/>
          <w:szCs w:val="22"/>
          <w:highlight w:val="none"/>
          <w:u w:val="single"/>
        </w:rPr>
        <w:t>金额约</w:t>
      </w:r>
      <w:r>
        <w:rPr>
          <w:rFonts w:hint="eastAsia" w:ascii="Times New Roman" w:hAnsi="Times New Roman" w:cs="Times New Roman"/>
          <w:color w:val="auto"/>
          <w:szCs w:val="22"/>
          <w:highlight w:val="none"/>
          <w:u w:val="single"/>
          <w:lang w:val="en-US" w:eastAsia="zh-CN"/>
        </w:rPr>
        <w:t>3700</w:t>
      </w:r>
      <w:r>
        <w:rPr>
          <w:rFonts w:hint="eastAsia" w:ascii="Times New Roman" w:hAnsi="Times New Roman" w:cs="Times New Roman"/>
          <w:color w:val="auto"/>
          <w:szCs w:val="22"/>
          <w:highlight w:val="none"/>
          <w:u w:val="single"/>
        </w:rPr>
        <w:t>万元（分阶段开展库内比选进行实施</w:t>
      </w:r>
      <w:r>
        <w:rPr>
          <w:rFonts w:hint="eastAsia" w:ascii="Times New Roman" w:hAnsi="Times New Roman" w:cs="Times New Roman"/>
          <w:color w:val="auto"/>
          <w:szCs w:val="22"/>
          <w:highlight w:val="none"/>
          <w:u w:val="single"/>
          <w:lang w:eastAsia="zh-CN"/>
        </w:rPr>
        <w:t>，合同期内服务站点个数会有增减，请潜在单位悉知</w:t>
      </w:r>
      <w:r>
        <w:rPr>
          <w:rFonts w:hint="eastAsia" w:ascii="Times New Roman" w:hAnsi="Times New Roman" w:cs="Times New Roman"/>
          <w:color w:val="auto"/>
          <w:szCs w:val="22"/>
          <w:highlight w:val="none"/>
          <w:u w:val="single"/>
        </w:rPr>
        <w:t>）。</w:t>
      </w:r>
    </w:p>
    <w:p>
      <w:pPr>
        <w:pStyle w:val="3"/>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0" w:name="_Toc8128_WPSOffice_Level2"/>
      <w:bookmarkStart w:id="11" w:name="_Toc18367_WPSOffice_Level2"/>
      <w:bookmarkStart w:id="12" w:name="_Toc18453"/>
      <w:bookmarkStart w:id="13" w:name="_Toc17858_WPSOffice_Level2"/>
      <w:bookmarkStart w:id="14" w:name="_Toc10274"/>
      <w:bookmarkStart w:id="15" w:name="_Toc525632586"/>
      <w:bookmarkStart w:id="16" w:name="_Toc23266_WPSOffice_Level2"/>
      <w:r>
        <w:rPr>
          <w:rFonts w:ascii="Times New Roman" w:hAnsi="Times New Roman" w:eastAsia="黑体" w:cs="Times New Roman"/>
          <w:bCs w:val="0"/>
          <w:color w:val="auto"/>
          <w:sz w:val="22"/>
          <w:szCs w:val="15"/>
          <w:highlight w:val="none"/>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cs="Times New Roman"/>
          <w:color w:val="auto"/>
          <w:szCs w:val="22"/>
          <w:highlight w:val="none"/>
          <w:u w:val="single"/>
        </w:rPr>
      </w:pPr>
      <w:bookmarkStart w:id="17" w:name="_Toc4489_WPSOffice_Level3"/>
      <w:r>
        <w:rPr>
          <w:rFonts w:ascii="Times New Roman" w:hAnsi="Times New Roman" w:cs="Times New Roman"/>
          <w:color w:val="auto"/>
          <w:szCs w:val="22"/>
          <w:highlight w:val="none"/>
        </w:rPr>
        <w:t>2.1 采购方式：</w:t>
      </w:r>
      <w:bookmarkEnd w:id="17"/>
      <w:r>
        <w:rPr>
          <w:rFonts w:ascii="Times New Roman" w:hAnsi="Times New Roman" w:cs="Times New Roman"/>
          <w:color w:val="auto"/>
          <w:szCs w:val="22"/>
          <w:highlight w:val="none"/>
          <w:u w:val="single"/>
        </w:rPr>
        <w:t>公开询比采购</w:t>
      </w:r>
    </w:p>
    <w:p>
      <w:pPr>
        <w:snapToGrid w:val="0"/>
        <w:spacing w:line="440" w:lineRule="exact"/>
        <w:ind w:firstLine="420" w:firstLineChars="200"/>
        <w:rPr>
          <w:rFonts w:ascii="Times New Roman" w:hAnsi="Times New Roman" w:cs="Times New Roman"/>
          <w:color w:val="auto"/>
          <w:szCs w:val="22"/>
          <w:highlight w:val="none"/>
          <w:u w:val="single"/>
        </w:rPr>
      </w:pPr>
      <w:bookmarkStart w:id="18" w:name="_Toc23266_WPSOffice_Level3"/>
      <w:r>
        <w:rPr>
          <w:rFonts w:ascii="Times New Roman" w:hAnsi="Times New Roman" w:cs="Times New Roman"/>
          <w:color w:val="auto"/>
          <w:szCs w:val="22"/>
          <w:highlight w:val="none"/>
        </w:rPr>
        <w:t>2.2 资金来源及比例：</w:t>
      </w:r>
      <w:bookmarkEnd w:id="18"/>
      <w:bookmarkStart w:id="19" w:name="_Toc22379_WPSOffice_Level3"/>
      <w:r>
        <w:rPr>
          <w:rFonts w:ascii="Times New Roman" w:hAnsi="Times New Roman" w:cs="Times New Roman"/>
          <w:color w:val="auto"/>
          <w:szCs w:val="22"/>
          <w:highlight w:val="none"/>
          <w:u w:val="single"/>
        </w:rPr>
        <w:t>企业自筹</w:t>
      </w:r>
    </w:p>
    <w:p>
      <w:pPr>
        <w:snapToGrid w:val="0"/>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2.3 采购范围：</w:t>
      </w:r>
      <w:r>
        <w:rPr>
          <w:rFonts w:hint="eastAsia"/>
        </w:rPr>
        <w:t>肉类及肉制品、水产、果蔬、禽蛋、干货调味、乳制品、豆制品、米面油、食堂一次性物料消耗品等</w:t>
      </w:r>
      <w:r>
        <w:rPr>
          <w:rFonts w:hint="eastAsia" w:ascii="Times New Roman" w:hAnsi="Times New Roman" w:cs="Times New Roman"/>
          <w:color w:val="auto"/>
          <w:szCs w:val="22"/>
          <w:highlight w:val="none"/>
          <w:u w:val="single"/>
          <w:lang w:val="en-US" w:eastAsia="zh-CN"/>
        </w:rPr>
        <w:t>.</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2.4 合同包划分：</w:t>
      </w:r>
      <w:r>
        <w:rPr>
          <w:rFonts w:hint="eastAsia" w:ascii="Times New Roman" w:hAnsi="Times New Roman" w:cs="Times New Roman"/>
          <w:color w:val="auto"/>
          <w:szCs w:val="22"/>
          <w:highlight w:val="none"/>
          <w:u w:val="single"/>
          <w:lang w:val="en-US" w:eastAsia="zh-CN"/>
        </w:rPr>
        <w:t>1</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 xml:space="preserve"> </w:t>
      </w:r>
      <w:bookmarkEnd w:id="19"/>
      <w:r>
        <w:rPr>
          <w:rFonts w:hint="eastAsia" w:ascii="Times New Roman" w:hAnsi="Times New Roman" w:cs="Times New Roman"/>
          <w:color w:val="auto"/>
          <w:szCs w:val="22"/>
          <w:highlight w:val="none"/>
        </w:rPr>
        <w:t>入库有效期：入围之日起一年。</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6</w:t>
      </w:r>
      <w:r>
        <w:rPr>
          <w:rFonts w:ascii="Times New Roman" w:hAnsi="Times New Roman" w:cs="Times New Roman"/>
          <w:color w:val="auto"/>
          <w:szCs w:val="22"/>
          <w:highlight w:val="none"/>
        </w:rPr>
        <w:t xml:space="preserve"> 入围原则：</w:t>
      </w:r>
      <w:r>
        <w:rPr>
          <w:rFonts w:hint="eastAsia" w:ascii="Times New Roman" w:hAnsi="Times New Roman" w:cs="Times New Roman"/>
          <w:color w:val="auto"/>
          <w:szCs w:val="22"/>
          <w:highlight w:val="none"/>
          <w:lang w:eastAsia="zh-CN"/>
        </w:rPr>
        <w:t>合格制</w:t>
      </w:r>
      <w:r>
        <w:rPr>
          <w:rFonts w:hint="eastAsia" w:ascii="Times New Roman" w:hAnsi="Times New Roman" w:cs="Times New Roman"/>
          <w:color w:val="auto"/>
          <w:szCs w:val="22"/>
          <w:highlight w:val="none"/>
        </w:rPr>
        <w:t>（详见采购文件）</w:t>
      </w:r>
      <w:r>
        <w:rPr>
          <w:rFonts w:ascii="Times New Roman" w:hAnsi="Times New Roman" w:cs="Times New Roman"/>
          <w:color w:val="auto"/>
          <w:szCs w:val="22"/>
          <w:highlight w:val="none"/>
        </w:rPr>
        <w:t>。</w:t>
      </w:r>
    </w:p>
    <w:p>
      <w:pPr>
        <w:pStyle w:val="4"/>
        <w:ind w:firstLine="420" w:firstLineChars="200"/>
        <w:rPr>
          <w:rFonts w:ascii="Times New Roman" w:hAnsi="Times New Roman" w:cs="Times New Roman" w:eastAsiaTheme="minorEastAsia"/>
          <w:bCs w:val="0"/>
          <w:color w:val="auto"/>
          <w:sz w:val="21"/>
          <w:szCs w:val="22"/>
          <w:highlight w:val="none"/>
        </w:rPr>
      </w:pPr>
      <w:r>
        <w:rPr>
          <w:rFonts w:hint="default" w:ascii="Times New Roman" w:hAnsi="Times New Roman" w:cs="Times New Roman" w:eastAsiaTheme="minorEastAsia"/>
          <w:bCs w:val="0"/>
          <w:color w:val="auto"/>
          <w:sz w:val="21"/>
          <w:szCs w:val="22"/>
          <w:highlight w:val="none"/>
        </w:rPr>
        <w:t>2.</w:t>
      </w:r>
      <w:r>
        <w:rPr>
          <w:rFonts w:hint="eastAsia" w:ascii="Times New Roman" w:hAnsi="Times New Roman" w:cs="Times New Roman" w:eastAsiaTheme="minorEastAsia"/>
          <w:bCs w:val="0"/>
          <w:color w:val="auto"/>
          <w:sz w:val="21"/>
          <w:szCs w:val="22"/>
          <w:highlight w:val="none"/>
          <w:lang w:val="en-US" w:eastAsia="zh-CN"/>
        </w:rPr>
        <w:t>7</w:t>
      </w:r>
      <w:r>
        <w:rPr>
          <w:rFonts w:hint="default" w:ascii="Times New Roman" w:hAnsi="Times New Roman" w:cs="Times New Roman" w:eastAsiaTheme="minorEastAsia"/>
          <w:bCs w:val="0"/>
          <w:color w:val="auto"/>
          <w:sz w:val="21"/>
          <w:szCs w:val="22"/>
          <w:highlight w:val="none"/>
        </w:rPr>
        <w:t xml:space="preserve"> 采购人将对供应商库实施动态管理，不定期采用公开方式引入新的供应商入库。</w:t>
      </w:r>
    </w:p>
    <w:p>
      <w:pPr>
        <w:pStyle w:val="3"/>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0" w:name="_Toc3714"/>
      <w:bookmarkStart w:id="21" w:name="_Toc29516_WPSOffice_Level2"/>
      <w:bookmarkStart w:id="22" w:name="_Toc6388"/>
      <w:bookmarkStart w:id="23" w:name="_Toc1622_WPSOffice_Level2"/>
      <w:bookmarkStart w:id="24" w:name="_Toc525632587"/>
      <w:bookmarkStart w:id="25" w:name="_Toc31673_WPSOffice_Level2"/>
      <w:bookmarkStart w:id="26" w:name="_Toc22379_WPSOffice_Level2"/>
      <w:r>
        <w:rPr>
          <w:rFonts w:ascii="Times New Roman" w:hAnsi="Times New Roman" w:eastAsia="黑体" w:cs="Times New Roman"/>
          <w:bCs w:val="0"/>
          <w:color w:val="auto"/>
          <w:sz w:val="22"/>
          <w:szCs w:val="15"/>
          <w:highlight w:val="none"/>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3.1 本次采购要求供应商须同时具备：</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（1）资质最低要求：</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具有有效的营业执照和食品生产（或经营或流通）许可证</w:t>
      </w:r>
      <w:r>
        <w:rPr>
          <w:rFonts w:hint="eastAsia" w:ascii="Times New Roman" w:hAnsi="Times New Roman" w:cs="Times New Roman"/>
          <w:color w:val="auto"/>
          <w:szCs w:val="22"/>
          <w:highlight w:val="none"/>
        </w:rPr>
        <w:t>的</w:t>
      </w:r>
      <w:r>
        <w:rPr>
          <w:rFonts w:ascii="Times New Roman" w:hAnsi="Times New Roman" w:cs="Times New Roman"/>
          <w:color w:val="auto"/>
          <w:szCs w:val="22"/>
          <w:highlight w:val="none"/>
        </w:rPr>
        <w:t>一般纳税人</w:t>
      </w:r>
      <w:r>
        <w:rPr>
          <w:rFonts w:hint="eastAsia" w:ascii="Times New Roman" w:hAnsi="Times New Roman" w:cs="Times New Roman"/>
          <w:color w:val="auto"/>
          <w:szCs w:val="22"/>
          <w:highlight w:val="none"/>
        </w:rPr>
        <w:t>。</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eastAsia="zh-CN"/>
        </w:rPr>
        <w:t>供应商</w:t>
      </w:r>
      <w:r>
        <w:rPr>
          <w:rFonts w:hint="eastAsia" w:ascii="Times New Roman" w:hAnsi="Times New Roman" w:cs="Times New Roman"/>
          <w:color w:val="auto"/>
          <w:szCs w:val="22"/>
          <w:highlight w:val="none"/>
        </w:rPr>
        <w:t>准入条件</w:t>
      </w:r>
    </w:p>
    <w:p>
      <w:pPr>
        <w:ind w:firstLine="420" w:firstLineChars="200"/>
        <w:rPr>
          <w:rFonts w:hint="eastAsia"/>
        </w:rPr>
      </w:pPr>
      <w:r>
        <w:rPr>
          <w:rFonts w:hint="eastAsia"/>
        </w:rPr>
        <w:t>1、业绩要求</w:t>
      </w:r>
    </w:p>
    <w:p>
      <w:pPr>
        <w:ind w:firstLine="420" w:firstLineChars="200"/>
        <w:rPr>
          <w:rFonts w:hint="eastAsia"/>
        </w:rPr>
      </w:pPr>
      <w:r>
        <w:rPr>
          <w:rFonts w:hint="eastAsia"/>
        </w:rPr>
        <w:t>2020年1月1日至今</w:t>
      </w:r>
      <w:r>
        <w:rPr>
          <w:rFonts w:hint="eastAsia"/>
          <w:lang w:val="en-US" w:eastAsia="zh-CN"/>
        </w:rPr>
        <w:t>(</w:t>
      </w:r>
      <w:r>
        <w:rPr>
          <w:rFonts w:hint="eastAsia"/>
        </w:rPr>
        <w:t>以合同签订时间为准</w:t>
      </w:r>
      <w:r>
        <w:rPr>
          <w:rFonts w:hint="eastAsia"/>
          <w:lang w:val="en-US" w:eastAsia="zh-CN"/>
        </w:rPr>
        <w:t>)</w:t>
      </w:r>
      <w:r>
        <w:rPr>
          <w:rFonts w:hint="eastAsia"/>
        </w:rPr>
        <w:t>具备安徽省内</w:t>
      </w:r>
      <w:r>
        <w:rPr>
          <w:rFonts w:hint="eastAsia"/>
          <w:lang w:val="en-US" w:eastAsia="zh-CN"/>
        </w:rPr>
        <w:t>3</w:t>
      </w:r>
      <w:r>
        <w:rPr>
          <w:rFonts w:hint="eastAsia"/>
        </w:rPr>
        <w:t>个单项合同金额不低于</w:t>
      </w:r>
      <w:r>
        <w:rPr>
          <w:rFonts w:hint="eastAsia"/>
          <w:lang w:val="en-US" w:eastAsia="zh-CN"/>
        </w:rPr>
        <w:t>1</w:t>
      </w:r>
      <w:r>
        <w:rPr>
          <w:rFonts w:hint="eastAsia"/>
        </w:rPr>
        <w:t>00万元的与政府机关/事业单位/上市公司/国有企业的类似食材供货业绩。业绩内容须涵盖采购范围（肉类及肉制品、水产、果蔬、禽蛋、干货调味、乳制品、豆制品、米面油、食堂一次性物料消耗品等）其中4个类别及以上。</w:t>
      </w:r>
    </w:p>
    <w:p>
      <w:pPr>
        <w:ind w:firstLine="420" w:firstLineChars="200"/>
        <w:rPr>
          <w:rFonts w:hint="eastAsia"/>
        </w:rPr>
      </w:pPr>
      <w:r>
        <w:rPr>
          <w:rFonts w:hint="eastAsia"/>
        </w:rPr>
        <w:t>注：业绩须提供合同（包含合同清单）及该合同的累计结算不低于</w:t>
      </w:r>
      <w:r>
        <w:rPr>
          <w:rFonts w:hint="eastAsia"/>
          <w:lang w:val="en-US" w:eastAsia="zh-CN"/>
        </w:rPr>
        <w:t>1</w:t>
      </w:r>
      <w:r>
        <w:rPr>
          <w:rFonts w:hint="eastAsia"/>
        </w:rPr>
        <w:t>0</w:t>
      </w:r>
      <w:r>
        <w:rPr>
          <w:rFonts w:hint="eastAsia"/>
          <w:lang w:val="en-US" w:eastAsia="zh-CN"/>
        </w:rPr>
        <w:t>0</w:t>
      </w:r>
      <w:r>
        <w:rPr>
          <w:rFonts w:hint="eastAsia"/>
        </w:rPr>
        <w:t>万元的发票或者转账凭证，否则该业绩不予认可。</w:t>
      </w:r>
    </w:p>
    <w:p>
      <w:pPr>
        <w:ind w:firstLine="420" w:firstLineChars="200"/>
        <w:rPr>
          <w:rFonts w:hint="eastAsia"/>
        </w:rPr>
      </w:pPr>
      <w:r>
        <w:rPr>
          <w:rFonts w:hint="eastAsia"/>
          <w:lang w:val="en-US" w:eastAsia="zh-CN"/>
        </w:rPr>
        <w:t>2</w:t>
      </w:r>
      <w:r>
        <w:rPr>
          <w:rFonts w:hint="eastAsia"/>
        </w:rPr>
        <w:t>、仓储服务</w:t>
      </w:r>
    </w:p>
    <w:p>
      <w:pPr>
        <w:ind w:firstLine="420" w:firstLineChars="200"/>
        <w:rPr>
          <w:rFonts w:hint="eastAsia"/>
        </w:rPr>
      </w:pPr>
      <w:r>
        <w:rPr>
          <w:rFonts w:hint="eastAsia"/>
        </w:rPr>
        <w:t>在安徽省内拥有单个仓储面积不低于1000㎡，单个仓储</w:t>
      </w:r>
      <w:r>
        <w:rPr>
          <w:rFonts w:hint="eastAsia"/>
          <w:lang w:val="en-US" w:eastAsia="zh-CN"/>
        </w:rPr>
        <w:t>内</w:t>
      </w:r>
      <w:r>
        <w:rPr>
          <w:rFonts w:hint="eastAsia"/>
        </w:rPr>
        <w:t>冷藏冷冻库面积不低于</w:t>
      </w:r>
      <w:r>
        <w:rPr>
          <w:rFonts w:hint="eastAsia"/>
          <w:lang w:val="en-US" w:eastAsia="zh-CN"/>
        </w:rPr>
        <w:t>2</w:t>
      </w:r>
      <w:r>
        <w:rPr>
          <w:rFonts w:hint="eastAsia"/>
        </w:rPr>
        <w:t>00</w:t>
      </w:r>
      <w:r>
        <w:rPr>
          <w:rFonts w:hint="eastAsia"/>
          <w:lang w:val="en-US" w:eastAsia="zh-CN"/>
        </w:rPr>
        <w:t>立方</w:t>
      </w:r>
      <w:r>
        <w:rPr>
          <w:rFonts w:hint="eastAsia"/>
        </w:rPr>
        <w:t>。</w:t>
      </w:r>
    </w:p>
    <w:p>
      <w:pPr>
        <w:ind w:firstLine="420" w:firstLineChars="200"/>
        <w:rPr>
          <w:rFonts w:hint="eastAsia"/>
        </w:rPr>
      </w:pPr>
      <w:r>
        <w:rPr>
          <w:rFonts w:hint="eastAsia"/>
        </w:rPr>
        <w:t>注：仓库自有产权的提供房产证及土地使用证，租赁的提供租赁合同、转账凭证和发票；冷藏冷冻库为自有的提供冷藏冷冻库面积证明材料及自有证明材料扫描件，租赁的冷藏冷冻库提供冷藏冷冻库面积证明材料及租赁合同扫描件；入围后投标人进行现场考察，若考察实际场地与提供的资料、照片、面积不符，取消入围资格并列入不良记录行为。</w:t>
      </w:r>
    </w:p>
    <w:p>
      <w:pPr>
        <w:ind w:firstLine="420" w:firstLineChars="200"/>
        <w:rPr>
          <w:rFonts w:hint="eastAsia"/>
        </w:rPr>
      </w:pPr>
      <w:r>
        <w:rPr>
          <w:rFonts w:hint="eastAsia"/>
          <w:lang w:val="en-US" w:eastAsia="zh-CN"/>
        </w:rPr>
        <w:t>3</w:t>
      </w:r>
      <w:r>
        <w:rPr>
          <w:rFonts w:hint="eastAsia"/>
        </w:rPr>
        <w:t>、配送能力</w:t>
      </w:r>
    </w:p>
    <w:p>
      <w:pPr>
        <w:ind w:firstLine="420" w:firstLineChars="200"/>
        <w:rPr>
          <w:rFonts w:hint="eastAsia"/>
        </w:rPr>
      </w:pPr>
      <w:r>
        <w:rPr>
          <w:rFonts w:hint="eastAsia"/>
        </w:rPr>
        <w:t>供应商自有及租赁的冷藏配送车辆不低于</w:t>
      </w:r>
      <w:r>
        <w:rPr>
          <w:rFonts w:hint="eastAsia"/>
          <w:lang w:val="en-US" w:eastAsia="zh-CN"/>
        </w:rPr>
        <w:t>3</w:t>
      </w:r>
      <w:r>
        <w:rPr>
          <w:rFonts w:hint="eastAsia"/>
        </w:rPr>
        <w:t>辆。</w:t>
      </w:r>
    </w:p>
    <w:p>
      <w:pPr>
        <w:ind w:firstLine="420" w:firstLineChars="200"/>
        <w:rPr>
          <w:rFonts w:hint="eastAsia"/>
        </w:rPr>
      </w:pPr>
      <w:r>
        <w:rPr>
          <w:rFonts w:hint="eastAsia"/>
        </w:rPr>
        <w:t xml:space="preserve">注：自有车辆须同时提供购车发票、车辆行驶证扫描件及车辆照片。租赁车辆需提供租赁合同、连续三个月（招标公示之日起一年内）租赁费用转账凭证及发票、车辆行驶证以及车辆照片。      </w:t>
      </w:r>
    </w:p>
    <w:p>
      <w:pPr>
        <w:ind w:firstLine="420" w:firstLineChars="200"/>
        <w:rPr>
          <w:rFonts w:hint="eastAsia"/>
        </w:rPr>
      </w:pPr>
      <w:r>
        <w:rPr>
          <w:rFonts w:hint="eastAsia"/>
          <w:lang w:val="en-US" w:eastAsia="zh-CN"/>
        </w:rPr>
        <w:t>4</w:t>
      </w:r>
      <w:r>
        <w:rPr>
          <w:rFonts w:hint="eastAsia"/>
        </w:rPr>
        <w:t>、安全保障能力</w:t>
      </w:r>
    </w:p>
    <w:p>
      <w:pPr>
        <w:ind w:firstLine="420" w:firstLineChars="200"/>
        <w:rPr>
          <w:rFonts w:hint="eastAsia"/>
        </w:rPr>
      </w:pPr>
      <w:r>
        <w:rPr>
          <w:rFonts w:hint="eastAsia"/>
        </w:rPr>
        <w:t>供应商具有有效期内的食品安全责任险。</w:t>
      </w:r>
    </w:p>
    <w:p>
      <w:pPr>
        <w:ind w:firstLine="420" w:firstLineChars="200"/>
        <w:rPr>
          <w:rFonts w:hint="eastAsia"/>
        </w:rPr>
      </w:pPr>
      <w:r>
        <w:rPr>
          <w:rFonts w:hint="eastAsia"/>
        </w:rPr>
        <w:t>注：被保险人须与供应商名称一致，投保日期在本项目招标公告发布之前；应提供产品购买食品安全责任保险单保单扫描件；必须承诺食品安全责任险到期后继续购买针对本项目食材的食品安全责任保险。</w:t>
      </w:r>
    </w:p>
    <w:p>
      <w:pPr>
        <w:ind w:firstLine="420" w:firstLineChars="200"/>
        <w:rPr>
          <w:rFonts w:hint="eastAsia"/>
        </w:rPr>
      </w:pPr>
      <w:r>
        <w:rPr>
          <w:rFonts w:hint="eastAsia"/>
          <w:lang w:val="en-US" w:eastAsia="zh-CN"/>
        </w:rPr>
        <w:t>5</w:t>
      </w:r>
      <w:r>
        <w:rPr>
          <w:rFonts w:hint="eastAsia"/>
        </w:rPr>
        <w:t>、食品安全检查</w:t>
      </w:r>
    </w:p>
    <w:p>
      <w:pPr>
        <w:ind w:firstLine="420" w:firstLineChars="200"/>
        <w:rPr>
          <w:rFonts w:hint="eastAsia"/>
        </w:rPr>
      </w:pPr>
      <w:r>
        <w:rPr>
          <w:rFonts w:hint="eastAsia"/>
        </w:rPr>
        <w:t>具有10平方米及以上的产品和食材检验室并具有检测设备及专业检测人员，或委托第三方检测机构检测且年度食材检测费用投入不少于5万。</w:t>
      </w:r>
    </w:p>
    <w:p>
      <w:pPr>
        <w:ind w:firstLine="420" w:firstLineChars="200"/>
        <w:rPr>
          <w:rFonts w:hint="eastAsia"/>
        </w:rPr>
      </w:pPr>
      <w:r>
        <w:rPr>
          <w:rFonts w:hint="eastAsia"/>
        </w:rPr>
        <w:t>注：自有检测的提供现场照片及相应设备的购置合同(或发票) 扫描件或影印件，能体现检验室面积的房产证等相关证明材料扫描件或影印件(标注清晰)，如房产属于租赁性质，需要提供租赁合同、房产证明材料，并且提供近三个月内(任意一个月即可) 的房租支付记录凭证，提供检测人员身份证、健康证、食品检验工证书及缴纳社保凭证（招标公示之日起一年内）。委托第三方检测的提供发票或转帐凭证证明材料，年度为2022年。</w:t>
      </w:r>
    </w:p>
    <w:p>
      <w:pPr>
        <w:ind w:firstLine="420" w:firstLineChars="200"/>
        <w:rPr>
          <w:rFonts w:hint="default" w:eastAsia="宋体"/>
          <w:lang w:val="en-US" w:eastAsia="zh-CN"/>
        </w:rPr>
      </w:pPr>
      <w:r>
        <w:rPr>
          <w:rFonts w:hint="eastAsia"/>
          <w:lang w:val="en-US" w:eastAsia="zh-CN"/>
        </w:rPr>
        <w:t>6</w:t>
      </w:r>
      <w:r>
        <w:rPr>
          <w:rFonts w:hint="eastAsia"/>
        </w:rPr>
        <w:t>、</w:t>
      </w:r>
      <w:r>
        <w:rPr>
          <w:rFonts w:hint="eastAsia"/>
          <w:lang w:val="en-US" w:eastAsia="zh-CN"/>
        </w:rPr>
        <w:t>体系认证</w:t>
      </w:r>
    </w:p>
    <w:p>
      <w:pPr>
        <w:ind w:firstLine="420" w:firstLineChars="200"/>
        <w:rPr>
          <w:rFonts w:hint="eastAsia"/>
        </w:rPr>
      </w:pPr>
      <w:r>
        <w:rPr>
          <w:rFonts w:hint="eastAsia"/>
        </w:rPr>
        <w:t>具有中国国家认证认可监督管理委员会认证机构颁发有效的</w:t>
      </w:r>
      <w:r>
        <w:rPr>
          <w:rFonts w:hint="eastAsia"/>
          <w:lang w:val="en-US" w:eastAsia="zh-CN"/>
        </w:rPr>
        <w:t>认证证书不少于5个</w:t>
      </w:r>
      <w:r>
        <w:rPr>
          <w:rFonts w:hint="eastAsia"/>
        </w:rPr>
        <w:t>。</w:t>
      </w:r>
    </w:p>
    <w:p>
      <w:pPr>
        <w:ind w:firstLine="420" w:firstLineChars="200"/>
      </w:pPr>
      <w:r>
        <w:rPr>
          <w:rFonts w:hint="eastAsia"/>
        </w:rPr>
        <w:t>注：投标文件中提供上述证书的扫描件，以及全国认证认可信息公共服务平台官网证书信息查询截图。</w:t>
      </w:r>
    </w:p>
    <w:p>
      <w:pPr>
        <w:numPr>
          <w:ilvl w:val="255"/>
          <w:numId w:val="0"/>
        </w:num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w:t>
      </w:r>
      <w:r>
        <w:rPr>
          <w:rFonts w:hint="eastAsia" w:ascii="Times New Roman" w:hAnsi="Times New Roman" w:cs="Times New Roman"/>
          <w:color w:val="auto"/>
          <w:szCs w:val="22"/>
          <w:highlight w:val="none"/>
          <w:lang w:val="en-US" w:eastAsia="zh-CN"/>
        </w:rPr>
        <w:t>3</w:t>
      </w:r>
      <w:r>
        <w:rPr>
          <w:rFonts w:ascii="Times New Roman" w:hAnsi="Times New Roman" w:cs="Times New Roman"/>
          <w:color w:val="auto"/>
          <w:szCs w:val="22"/>
          <w:highlight w:val="none"/>
        </w:rPr>
        <w:t>）信誉要求最低要求：</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①未被责令停业，暂扣或吊销执照，或吊销资质证书；</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szCs w:val="22"/>
          <w:highlight w:val="none"/>
        </w:rPr>
        <w:t>②未进入清算程序，或被宣告破产，或其他丧失履约能力的情形；</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③在国家企业信用信息公示系统（http://www.gsxt.gov.cn）中未被列入严重违法失信企业名单；</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④在“信用中国”网站（http://www.creditchina.gov.cn）中未被列入失信被执行人名单；</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⑤在近三年内（自响应文件递交截止之日向前追溯3年）供应商或其法定代表人、项目负责人（如有）未有行贿犯罪行为。</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⑥其他要求：</w:t>
      </w:r>
      <w:r>
        <w:rPr>
          <w:rFonts w:ascii="Times New Roman" w:hAnsi="Times New Roman" w:cs="Times New Roman"/>
          <w:color w:val="auto"/>
          <w:szCs w:val="22"/>
          <w:highlight w:val="none"/>
        </w:rPr>
        <w:t>在近三年内（自响应文件递交截止之日向前追溯3年）</w:t>
      </w:r>
      <w:r>
        <w:rPr>
          <w:rFonts w:hint="eastAsia" w:ascii="Times New Roman" w:hAnsi="Times New Roman" w:cs="Times New Roman"/>
          <w:color w:val="auto"/>
          <w:szCs w:val="22"/>
          <w:highlight w:val="none"/>
        </w:rPr>
        <w:t>供应商与安徽交控集团所辖子公司、分公司、路段管理中心</w:t>
      </w:r>
      <w:r>
        <w:rPr>
          <w:rFonts w:hint="eastAsia" w:ascii="Times New Roman" w:hAnsi="Times New Roman" w:cs="Times New Roman"/>
          <w:color w:val="auto"/>
          <w:szCs w:val="22"/>
          <w:highlight w:val="none"/>
          <w:lang w:eastAsia="zh-CN"/>
        </w:rPr>
        <w:t>合作未有不良记录（不良记录包括但不限于考评不合格）</w:t>
      </w:r>
      <w:r>
        <w:rPr>
          <w:rFonts w:ascii="Times New Roman" w:hAnsi="Times New Roman" w:cs="Times New Roman"/>
          <w:color w:val="auto"/>
          <w:highlight w:val="none"/>
        </w:rPr>
        <w:t>。</w:t>
      </w:r>
    </w:p>
    <w:p>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3.2 联合体：本次采购不接受联合体报价。</w:t>
      </w:r>
    </w:p>
    <w:p>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3.3 单位负责人为同一人或者存在控股、管理关系的不同单位，不得同时参加同一合同包报价，否则相关响应文件均无效。</w:t>
      </w:r>
    </w:p>
    <w:p>
      <w:pPr>
        <w:pStyle w:val="3"/>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7" w:name="_Toc1994"/>
      <w:bookmarkStart w:id="28" w:name="_Toc2996_WPSOffice_Level2"/>
      <w:bookmarkStart w:id="29" w:name="_Toc4751"/>
      <w:bookmarkStart w:id="30" w:name="_Toc29452_WPSOffice_Level2"/>
      <w:bookmarkStart w:id="31" w:name="_Toc25666_WPSOffice_Level2"/>
      <w:bookmarkStart w:id="32" w:name="_Toc525632588"/>
      <w:bookmarkStart w:id="33" w:name="_Toc4109_WPSOffice_Level2"/>
      <w:r>
        <w:rPr>
          <w:rFonts w:ascii="Times New Roman" w:hAnsi="Times New Roman" w:eastAsia="黑体" w:cs="Times New Roman"/>
          <w:bCs w:val="0"/>
          <w:color w:val="auto"/>
          <w:sz w:val="22"/>
          <w:szCs w:val="15"/>
          <w:highlight w:val="none"/>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供应商应在递交响应文件的截止时间前登录</w:t>
      </w:r>
      <w:r>
        <w:rPr>
          <w:rFonts w:hint="eastAsia" w:ascii="Times New Roman" w:hAnsi="Times New Roman" w:cs="Times New Roman"/>
          <w:color w:val="auto"/>
          <w:szCs w:val="22"/>
          <w:highlight w:val="none"/>
        </w:rPr>
        <w:t>驿达外网</w:t>
      </w:r>
      <w:r>
        <w:rPr>
          <w:rFonts w:ascii="Times New Roman" w:hAnsi="Times New Roman" w:cs="Times New Roman"/>
          <w:color w:val="auto"/>
          <w:szCs w:val="22"/>
          <w:highlight w:val="none"/>
        </w:rPr>
        <w:t>，自行下载询比文件及相关资料</w:t>
      </w:r>
      <w:r>
        <w:rPr>
          <w:rFonts w:ascii="Times New Roman" w:hAnsi="Times New Roman" w:cs="Times New Roman"/>
          <w:color w:val="auto"/>
          <w:szCs w:val="21"/>
          <w:highlight w:val="none"/>
        </w:rPr>
        <w:t>。</w:t>
      </w:r>
    </w:p>
    <w:p>
      <w:pPr>
        <w:pStyle w:val="3"/>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4" w:name="_Toc726"/>
      <w:bookmarkStart w:id="35" w:name="_Toc525632589"/>
      <w:r>
        <w:rPr>
          <w:rFonts w:ascii="Times New Roman" w:hAnsi="Times New Roman" w:eastAsia="黑体" w:cs="Times New Roman"/>
          <w:bCs w:val="0"/>
          <w:color w:val="auto"/>
          <w:sz w:val="22"/>
          <w:szCs w:val="15"/>
          <w:highlight w:val="none"/>
        </w:rPr>
        <w:t>响应文件的递交</w:t>
      </w:r>
      <w:bookmarkEnd w:id="34"/>
      <w:bookmarkEnd w:id="35"/>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响应文件递交的截止时间为202</w:t>
      </w:r>
      <w:r>
        <w:rPr>
          <w:rFonts w:hint="eastAsia" w:ascii="Times New Roman" w:hAnsi="Times New Roman" w:cs="Times New Roman"/>
          <w:color w:val="auto"/>
          <w:szCs w:val="22"/>
          <w:highlight w:val="none"/>
          <w:lang w:val="en-US" w:eastAsia="zh-CN"/>
        </w:rPr>
        <w:t>4</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16</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17</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30</w:t>
      </w:r>
      <w:r>
        <w:rPr>
          <w:rFonts w:ascii="Times New Roman" w:hAnsi="Times New Roman" w:cs="Times New Roman"/>
          <w:color w:val="auto"/>
          <w:szCs w:val="22"/>
          <w:highlight w:val="none"/>
        </w:rPr>
        <w:t>分，供应商的法定代表人或其授权代理人应于递交的截止时间前将响应文件递交至安徽省</w:t>
      </w:r>
      <w:r>
        <w:rPr>
          <w:rFonts w:hint="eastAsia" w:ascii="Times New Roman" w:hAnsi="Times New Roman" w:cs="Times New Roman"/>
          <w:color w:val="auto"/>
          <w:szCs w:val="22"/>
          <w:highlight w:val="none"/>
        </w:rPr>
        <w:t>合肥市望江西路520号皖通科技园内1</w:t>
      </w:r>
      <w:r>
        <w:rPr>
          <w:rFonts w:hint="eastAsia" w:ascii="Times New Roman" w:hAnsi="Times New Roman" w:cs="Times New Roman"/>
          <w:color w:val="auto"/>
          <w:szCs w:val="22"/>
          <w:highlight w:val="none"/>
          <w:lang w:val="en-US" w:eastAsia="zh-CN"/>
        </w:rPr>
        <w:t>2</w:t>
      </w:r>
      <w:r>
        <w:rPr>
          <w:rFonts w:hint="eastAsia" w:ascii="Times New Roman" w:hAnsi="Times New Roman" w:cs="Times New Roman"/>
          <w:color w:val="auto"/>
          <w:szCs w:val="22"/>
          <w:highlight w:val="none"/>
        </w:rPr>
        <w:t>号楼</w:t>
      </w:r>
      <w:r>
        <w:rPr>
          <w:rFonts w:hint="eastAsia" w:ascii="Times New Roman" w:hAnsi="Times New Roman" w:cs="Times New Roman"/>
          <w:color w:val="auto"/>
          <w:szCs w:val="22"/>
          <w:highlight w:val="none"/>
          <w:lang w:val="en-US" w:eastAsia="zh-CN"/>
        </w:rPr>
        <w:t>四楼</w:t>
      </w:r>
      <w:r>
        <w:rPr>
          <w:rFonts w:ascii="Times New Roman" w:hAnsi="Times New Roman" w:cs="Times New Roman"/>
          <w:color w:val="auto"/>
          <w:szCs w:val="22"/>
          <w:highlight w:val="none"/>
        </w:rPr>
        <w:t>。</w:t>
      </w:r>
    </w:p>
    <w:p>
      <w:pPr>
        <w:pStyle w:val="3"/>
        <w:numPr>
          <w:ilvl w:val="255"/>
          <w:numId w:val="0"/>
        </w:numPr>
        <w:snapToGrid w:val="0"/>
        <w:spacing w:before="120" w:after="120" w:line="240" w:lineRule="auto"/>
        <w:ind w:firstLine="440" w:firstLineChars="200"/>
        <w:rPr>
          <w:rFonts w:ascii="Times New Roman" w:hAnsi="Times New Roman" w:eastAsia="黑体" w:cs="Times New Roman"/>
          <w:bCs w:val="0"/>
          <w:color w:val="auto"/>
          <w:sz w:val="22"/>
          <w:szCs w:val="15"/>
          <w:highlight w:val="none"/>
        </w:rPr>
      </w:pPr>
      <w:bookmarkStart w:id="36" w:name="_Toc525632591"/>
      <w:bookmarkStart w:id="37" w:name="_Toc22719"/>
      <w:r>
        <w:rPr>
          <w:rFonts w:hint="eastAsia" w:ascii="Times New Roman" w:hAnsi="Times New Roman" w:eastAsia="黑体" w:cs="Times New Roman"/>
          <w:bCs w:val="0"/>
          <w:color w:val="auto"/>
          <w:sz w:val="22"/>
          <w:szCs w:val="15"/>
          <w:highlight w:val="none"/>
        </w:rPr>
        <w:t>6.</w:t>
      </w:r>
      <w:r>
        <w:rPr>
          <w:rFonts w:ascii="Times New Roman" w:hAnsi="Times New Roman" w:eastAsia="黑体" w:cs="Times New Roman"/>
          <w:bCs w:val="0"/>
          <w:color w:val="auto"/>
          <w:sz w:val="22"/>
          <w:szCs w:val="15"/>
          <w:highlight w:val="none"/>
        </w:rPr>
        <w:t>响应文件启封</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w:t>
      </w:r>
      <w:r>
        <w:rPr>
          <w:rFonts w:hint="eastAsia" w:ascii="Times New Roman" w:hAnsi="Times New Roman" w:cs="Times New Roman"/>
          <w:color w:val="auto"/>
          <w:szCs w:val="22"/>
          <w:highlight w:val="none"/>
        </w:rPr>
        <w:t>安徽省合肥市望江西路520号皖通科技园内12号楼四楼</w:t>
      </w:r>
      <w:r>
        <w:rPr>
          <w:rFonts w:hint="eastAsia" w:ascii="Times New Roman" w:hAnsi="Times New Roman" w:cs="Times New Roman"/>
          <w:color w:val="auto"/>
          <w:szCs w:val="22"/>
          <w:highlight w:val="none"/>
          <w:lang w:eastAsia="zh-CN"/>
        </w:rPr>
        <w:t>，</w:t>
      </w:r>
      <w:r>
        <w:rPr>
          <w:rFonts w:ascii="Times New Roman" w:hAnsi="Times New Roman" w:cs="Times New Roman"/>
          <w:color w:val="auto"/>
          <w:szCs w:val="22"/>
          <w:highlight w:val="none"/>
        </w:rPr>
        <w:t>组织进行响应文件的启封。供应商的法定代表人或授权代理人应携带本人身份证、授权代理人应携带授权委托书准时参加启封会议。</w:t>
      </w:r>
    </w:p>
    <w:p>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7.</w:t>
      </w:r>
      <w:r>
        <w:rPr>
          <w:rFonts w:ascii="Times New Roman" w:hAnsi="Times New Roman" w:eastAsia="黑体" w:cs="Times New Roman"/>
          <w:bCs w:val="0"/>
          <w:color w:val="auto"/>
          <w:sz w:val="22"/>
          <w:szCs w:val="15"/>
          <w:highlight w:val="none"/>
        </w:rPr>
        <w:t>响应保证金</w:t>
      </w:r>
    </w:p>
    <w:p>
      <w:pPr>
        <w:snapToGrid w:val="0"/>
        <w:spacing w:line="440" w:lineRule="exact"/>
        <w:ind w:firstLine="420" w:firstLineChars="200"/>
        <w:rPr>
          <w:rFonts w:ascii="Times New Roman" w:hAnsi="Times New Roman" w:cs="Times New Roman"/>
          <w:color w:val="auto"/>
          <w:highlight w:val="none"/>
          <w:u w:val="none"/>
        </w:rPr>
      </w:pPr>
      <w:r>
        <w:rPr>
          <w:rFonts w:ascii="Times New Roman" w:hAnsi="Times New Roman" w:cs="Times New Roman"/>
          <w:color w:val="auto"/>
          <w:highlight w:val="none"/>
        </w:rPr>
        <w:t>响应保证金的金额：</w:t>
      </w:r>
      <w:r>
        <w:rPr>
          <w:rFonts w:hint="eastAsia" w:ascii="Times New Roman" w:hAnsi="Times New Roman" w:cs="Times New Roman"/>
          <w:color w:val="auto"/>
          <w:szCs w:val="22"/>
          <w:highlight w:val="none"/>
          <w:u w:val="none"/>
          <w:lang w:val="en-US" w:eastAsia="zh-CN"/>
        </w:rPr>
        <w:t>/</w:t>
      </w:r>
    </w:p>
    <w:p>
      <w:pPr>
        <w:snapToGrid w:val="0"/>
        <w:spacing w:line="440" w:lineRule="exact"/>
        <w:ind w:firstLine="420" w:firstLineChars="200"/>
        <w:rPr>
          <w:rFonts w:ascii="Times New Roman" w:hAnsi="Times New Roman" w:eastAsia="宋体"/>
          <w:color w:val="auto"/>
          <w:highlight w:val="none"/>
        </w:rPr>
      </w:pPr>
      <w:r>
        <w:rPr>
          <w:rFonts w:hint="eastAsia" w:ascii="Times New Roman" w:hAnsi="Times New Roman"/>
          <w:color w:val="auto"/>
          <w:highlight w:val="none"/>
        </w:rPr>
        <w:t>响应保证金的递交形式：银行转账</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olor w:val="auto"/>
          <w:highlight w:val="none"/>
        </w:rPr>
        <w:t>递交截止时间：</w:t>
      </w:r>
      <w:r>
        <w:rPr>
          <w:rFonts w:hint="eastAsia" w:ascii="Times New Roman" w:hAnsi="Times New Roman"/>
          <w:color w:val="auto"/>
          <w:highlight w:val="non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16</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17</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30</w:t>
      </w:r>
      <w:bookmarkStart w:id="241" w:name="_GoBack"/>
      <w:bookmarkEnd w:id="241"/>
      <w:r>
        <w:rPr>
          <w:rFonts w:ascii="Times New Roman" w:hAnsi="Times New Roman" w:cs="Times New Roman"/>
          <w:color w:val="auto"/>
          <w:szCs w:val="22"/>
          <w:highlight w:val="none"/>
        </w:rPr>
        <w:t>分</w:t>
      </w:r>
    </w:p>
    <w:p>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8.</w:t>
      </w:r>
      <w:r>
        <w:rPr>
          <w:rFonts w:ascii="Times New Roman" w:hAnsi="Times New Roman" w:eastAsia="黑体" w:cs="Times New Roman"/>
          <w:bCs w:val="0"/>
          <w:color w:val="auto"/>
          <w:sz w:val="22"/>
          <w:szCs w:val="15"/>
          <w:highlight w:val="none"/>
        </w:rPr>
        <w:t>发布公告的媒介</w:t>
      </w:r>
      <w:bookmarkEnd w:id="36"/>
      <w:bookmarkEnd w:id="37"/>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本次采购公告在</w:t>
      </w:r>
      <w:r>
        <w:rPr>
          <w:rFonts w:hint="eastAsia" w:ascii="Times New Roman" w:hAnsi="Times New Roman" w:cs="Times New Roman"/>
          <w:color w:val="auto"/>
          <w:szCs w:val="22"/>
          <w:highlight w:val="none"/>
        </w:rPr>
        <w:t>驿达公司网站</w:t>
      </w:r>
      <w:r>
        <w:rPr>
          <w:rFonts w:ascii="Times New Roman" w:hAnsi="Times New Roman" w:cs="Times New Roman"/>
          <w:color w:val="auto"/>
          <w:szCs w:val="22"/>
          <w:highlight w:val="none"/>
          <w:u w:val="single"/>
        </w:rPr>
        <w:t>（http://www.ahydgs.com</w:t>
      </w:r>
      <w:r>
        <w:rPr>
          <w:rFonts w:hint="eastAsia" w:ascii="Times New Roman" w:hAnsi="Times New Roman" w:cs="Times New Roman"/>
          <w:color w:val="auto"/>
          <w:szCs w:val="22"/>
          <w:highlight w:val="none"/>
          <w:u w:val="single"/>
        </w:rPr>
        <w:t>）</w:t>
      </w:r>
      <w:r>
        <w:rPr>
          <w:rFonts w:ascii="Times New Roman" w:hAnsi="Times New Roman" w:cs="Times New Roman"/>
          <w:color w:val="auto"/>
          <w:szCs w:val="22"/>
          <w:highlight w:val="none"/>
        </w:rPr>
        <w:t>上发布。</w:t>
      </w:r>
    </w:p>
    <w:p>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bookmarkStart w:id="38" w:name="_Toc525632592"/>
      <w:bookmarkStart w:id="39" w:name="_Toc20572_WPSOffice_Level2"/>
      <w:bookmarkStart w:id="40" w:name="_Toc14943_WPSOffice_Level2"/>
      <w:bookmarkStart w:id="41" w:name="_Toc8501"/>
      <w:bookmarkStart w:id="42" w:name="_Toc321_WPSOffice_Level2"/>
      <w:bookmarkStart w:id="43" w:name="_Toc26829"/>
      <w:bookmarkStart w:id="44" w:name="_Toc28571_WPSOffice_Level2"/>
      <w:r>
        <w:rPr>
          <w:rFonts w:hint="eastAsia" w:ascii="Times New Roman" w:hAnsi="Times New Roman" w:eastAsia="黑体" w:cs="Times New Roman"/>
          <w:bCs w:val="0"/>
          <w:color w:val="auto"/>
          <w:sz w:val="22"/>
          <w:szCs w:val="15"/>
          <w:highlight w:val="none"/>
        </w:rPr>
        <w:t>9.</w:t>
      </w:r>
      <w:r>
        <w:rPr>
          <w:rFonts w:ascii="Times New Roman" w:hAnsi="Times New Roman" w:eastAsia="黑体" w:cs="Times New Roman"/>
          <w:bCs w:val="0"/>
          <w:color w:val="auto"/>
          <w:sz w:val="22"/>
          <w:szCs w:val="15"/>
          <w:highlight w:val="none"/>
        </w:rPr>
        <w:t>采购人联系方式</w:t>
      </w:r>
      <w:bookmarkEnd w:id="38"/>
      <w:bookmarkEnd w:id="39"/>
      <w:bookmarkEnd w:id="40"/>
      <w:bookmarkEnd w:id="41"/>
      <w:bookmarkEnd w:id="42"/>
      <w:bookmarkEnd w:id="43"/>
      <w:bookmarkEnd w:id="44"/>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安徽省驿达高速公路服务区经营管理有限公司</w:t>
      </w:r>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地    址：</w:t>
      </w:r>
      <w:r>
        <w:rPr>
          <w:rFonts w:hint="eastAsia" w:ascii="Times New Roman" w:hAnsi="Times New Roman" w:cs="Times New Roman"/>
          <w:color w:val="auto"/>
          <w:szCs w:val="22"/>
          <w:highlight w:val="none"/>
        </w:rPr>
        <w:t>安徽省合肥市望江西路520号皖通科技园内12号楼四楼</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邮政编码：</w:t>
      </w:r>
      <w:r>
        <w:rPr>
          <w:rFonts w:hint="eastAsia" w:ascii="Times New Roman" w:hAnsi="Times New Roman" w:cs="Times New Roman"/>
          <w:color w:val="auto"/>
          <w:szCs w:val="22"/>
          <w:highlight w:val="none"/>
          <w:u w:val="single"/>
        </w:rPr>
        <w:t>233000</w:t>
      </w:r>
    </w:p>
    <w:p>
      <w:pPr>
        <w:spacing w:line="440" w:lineRule="exact"/>
        <w:ind w:firstLine="420" w:firstLineChars="200"/>
        <w:rPr>
          <w:rFonts w:hint="eastAsia" w:ascii="Times New Roman" w:hAnsi="Times New Roman" w:cs="Times New Roman" w:eastAsiaTheme="minorEastAsia"/>
          <w:color w:val="auto"/>
          <w:szCs w:val="22"/>
          <w:highlight w:val="none"/>
          <w:lang w:eastAsia="zh-CN"/>
        </w:rPr>
      </w:pPr>
      <w:r>
        <w:rPr>
          <w:rFonts w:ascii="Times New Roman" w:hAnsi="Times New Roman" w:cs="Times New Roman"/>
          <w:color w:val="auto"/>
          <w:szCs w:val="22"/>
          <w:highlight w:val="none"/>
        </w:rPr>
        <w:t>联 系 人：</w:t>
      </w:r>
      <w:r>
        <w:rPr>
          <w:rFonts w:hint="eastAsia" w:ascii="Times New Roman" w:hAnsi="Times New Roman" w:cs="Times New Roman"/>
          <w:color w:val="auto"/>
          <w:szCs w:val="22"/>
          <w:highlight w:val="none"/>
          <w:u w:val="single"/>
          <w:lang w:eastAsia="zh-CN"/>
        </w:rPr>
        <w:t>张先生、叶先生</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电    话：</w:t>
      </w:r>
      <w:r>
        <w:rPr>
          <w:rFonts w:hint="eastAsia" w:ascii="Times New Roman" w:hAnsi="Times New Roman" w:cs="Times New Roman"/>
          <w:color w:val="auto"/>
          <w:szCs w:val="22"/>
          <w:highlight w:val="none"/>
        </w:rPr>
        <w:t>0551-68287001</w:t>
      </w:r>
    </w:p>
    <w:p>
      <w:pPr>
        <w:spacing w:line="440" w:lineRule="exact"/>
        <w:ind w:firstLine="420" w:firstLineChars="200"/>
        <w:rPr>
          <w:rFonts w:hint="eastAsia" w:ascii="Times New Roman" w:hAnsi="Times New Roman" w:cs="Times New Roman"/>
          <w:color w:val="auto"/>
          <w:szCs w:val="22"/>
          <w:highlight w:val="none"/>
        </w:rPr>
      </w:pPr>
      <w:r>
        <w:rPr>
          <w:rFonts w:ascii="Times New Roman" w:hAnsi="Times New Roman" w:cs="Times New Roman"/>
          <w:color w:val="auto"/>
          <w:szCs w:val="22"/>
          <w:highlight w:val="none"/>
        </w:rPr>
        <w:t>邮</w:t>
      </w:r>
      <w:r>
        <w:rPr>
          <w:rFonts w:hint="eastAsia" w:ascii="Times New Roman" w:hAnsi="Times New Roman" w:cs="Times New Roman"/>
          <w:color w:val="auto"/>
          <w:szCs w:val="22"/>
          <w:highlight w:val="none"/>
        </w:rPr>
        <w:t xml:space="preserve">     </w:t>
      </w:r>
      <w:r>
        <w:rPr>
          <w:rFonts w:ascii="Times New Roman" w:hAnsi="Times New Roman" w:cs="Times New Roman"/>
          <w:color w:val="auto"/>
          <w:szCs w:val="22"/>
          <w:highlight w:val="none"/>
        </w:rPr>
        <w:t>箱</w:t>
      </w:r>
      <w:r>
        <w:rPr>
          <w:rFonts w:hint="eastAsia" w:ascii="Times New Roman" w:hAnsi="Times New Roman" w:cs="Times New Roman"/>
          <w:color w:val="auto"/>
          <w:szCs w:val="22"/>
          <w:highlight w:val="none"/>
        </w:rPr>
        <w:t>：</w:t>
      </w:r>
    </w:p>
    <w:p>
      <w:pPr>
        <w:numPr>
          <w:ilvl w:val="0"/>
          <w:numId w:val="0"/>
        </w:numPr>
        <w:spacing w:before="312" w:after="312" w:line="440" w:lineRule="exact"/>
        <w:ind w:firstLine="420" w:firstLineChars="200"/>
        <w:jc w:val="right"/>
        <w:rPr>
          <w:rFonts w:hint="eastAsia" w:ascii="Times New Roman" w:hAnsi="Times New Roman" w:eastAsia="宋体" w:cs="Times New Roman"/>
          <w:color w:val="auto"/>
          <w:highlight w:val="none"/>
        </w:rPr>
      </w:pPr>
      <w:r>
        <w:rPr>
          <w:rFonts w:hint="default" w:ascii="Times New Roman" w:hAnsi="Times New Roman" w:cs="Times New Roman"/>
          <w:color w:val="auto"/>
          <w:szCs w:val="22"/>
          <w:highlight w:val="none"/>
        </w:rPr>
        <w:t>202</w:t>
      </w:r>
      <w:r>
        <w:rPr>
          <w:rFonts w:hint="eastAsia" w:ascii="Times New Roman" w:hAnsi="Times New Roman" w:cs="Times New Roman"/>
          <w:color w:val="auto"/>
          <w:szCs w:val="22"/>
          <w:highlight w:val="none"/>
          <w:lang w:val="en-US" w:eastAsia="zh-CN"/>
        </w:rPr>
        <w:t>4</w:t>
      </w:r>
      <w:r>
        <w:rPr>
          <w:rFonts w:hint="default"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6</w:t>
      </w:r>
      <w:r>
        <w:rPr>
          <w:rFonts w:hint="default"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11</w:t>
      </w:r>
      <w:r>
        <w:rPr>
          <w:rFonts w:hint="default" w:ascii="Times New Roman" w:hAnsi="Times New Roman" w:cs="Times New Roman"/>
          <w:color w:val="auto"/>
          <w:szCs w:val="22"/>
          <w:highlight w:val="none"/>
        </w:rPr>
        <w:t>日</w:t>
      </w:r>
      <w:bookmarkStart w:id="45" w:name="_Toc26076_WPSOffice_Level1"/>
    </w:p>
    <w:p>
      <w:pPr>
        <w:pStyle w:val="2"/>
        <w:numPr>
          <w:ilvl w:val="0"/>
          <w:numId w:val="0"/>
        </w:numPr>
        <w:spacing w:before="312" w:after="31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第二章 </w:t>
      </w:r>
      <w:r>
        <w:rPr>
          <w:rFonts w:ascii="Times New Roman" w:hAnsi="Times New Roman" w:eastAsia="宋体" w:cs="Times New Roman"/>
          <w:color w:val="auto"/>
          <w:highlight w:val="none"/>
        </w:rPr>
        <w:t>供应商须知</w:t>
      </w:r>
      <w:bookmarkEnd w:id="45"/>
    </w:p>
    <w:p>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bookmarkStart w:id="46" w:name="_Toc26656938"/>
      <w:bookmarkStart w:id="47" w:name="_Toc14201207"/>
      <w:bookmarkStart w:id="48" w:name="_Toc9067720"/>
      <w:r>
        <w:rPr>
          <w:rFonts w:ascii="Times New Roman" w:hAnsi="Times New Roman" w:eastAsia="黑体" w:cs="Times New Roman"/>
          <w:bCs/>
          <w:color w:val="auto"/>
          <w:sz w:val="24"/>
          <w:szCs w:val="32"/>
          <w:highlight w:val="none"/>
        </w:rPr>
        <w:t>1. 总则</w:t>
      </w:r>
      <w:bookmarkEnd w:id="46"/>
      <w:bookmarkEnd w:id="47"/>
      <w:bookmarkEnd w:id="48"/>
    </w:p>
    <w:p>
      <w:pPr>
        <w:keepNext/>
        <w:keepLines/>
        <w:spacing w:before="120" w:after="120"/>
        <w:outlineLvl w:val="2"/>
        <w:rPr>
          <w:rFonts w:ascii="Times New Roman" w:hAnsi="Times New Roman" w:eastAsia="黑体" w:cs="Times New Roman"/>
          <w:bCs/>
          <w:color w:val="auto"/>
          <w:sz w:val="24"/>
          <w:szCs w:val="32"/>
          <w:highlight w:val="none"/>
        </w:rPr>
      </w:pPr>
      <w:bookmarkStart w:id="49" w:name="_Toc26656939"/>
      <w:bookmarkStart w:id="50" w:name="_Toc14201208"/>
      <w:r>
        <w:rPr>
          <w:rFonts w:ascii="Times New Roman" w:hAnsi="Times New Roman" w:eastAsia="黑体" w:cs="Times New Roman"/>
          <w:bCs/>
          <w:color w:val="auto"/>
          <w:sz w:val="24"/>
          <w:szCs w:val="32"/>
          <w:highlight w:val="none"/>
        </w:rPr>
        <w:t xml:space="preserve">1.1 </w:t>
      </w:r>
      <w:bookmarkEnd w:id="49"/>
      <w:bookmarkEnd w:id="50"/>
      <w:bookmarkStart w:id="51" w:name="_Toc26656941"/>
      <w:bookmarkStart w:id="52" w:name="_Toc14201210"/>
      <w:r>
        <w:rPr>
          <w:rFonts w:ascii="Times New Roman" w:hAnsi="Times New Roman" w:eastAsia="黑体" w:cs="Times New Roman"/>
          <w:bCs/>
          <w:color w:val="auto"/>
          <w:sz w:val="24"/>
          <w:szCs w:val="32"/>
          <w:highlight w:val="none"/>
        </w:rPr>
        <w:t>质量要求</w:t>
      </w:r>
      <w:bookmarkEnd w:id="51"/>
      <w:bookmarkEnd w:id="52"/>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本合同包的质量要求：_</w:t>
      </w:r>
      <w:r>
        <w:rPr>
          <w:rFonts w:hint="eastAsia" w:ascii="Times New Roman" w:hAnsi="Times New Roman" w:cs="Times New Roman"/>
          <w:color w:val="auto"/>
          <w:szCs w:val="21"/>
          <w:highlight w:val="none"/>
          <w:u w:val="single"/>
        </w:rPr>
        <w:t>符合国家标准</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53" w:name="_Toc26656942"/>
      <w:bookmarkStart w:id="54" w:name="_Toc14201211"/>
      <w:r>
        <w:rPr>
          <w:rFonts w:ascii="Times New Roman" w:hAnsi="Times New Roman" w:eastAsia="黑体" w:cs="Times New Roman"/>
          <w:bCs/>
          <w:color w:val="auto"/>
          <w:sz w:val="24"/>
          <w:szCs w:val="32"/>
          <w:highlight w:val="none"/>
        </w:rPr>
        <w:t>1.2 供应商资格要求</w:t>
      </w:r>
      <w:bookmarkEnd w:id="53"/>
      <w:bookmarkEnd w:id="54"/>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1.2.1 供应商应具备承担本合同包采购的资质条件、能力和信誉：见第一章 采购公告第3.1款要求。</w:t>
      </w:r>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1.2.2 其他要求：</w:t>
      </w:r>
      <w:r>
        <w:rPr>
          <w:rFonts w:hint="eastAsia" w:ascii="Times New Roman" w:hAnsi="Times New Roman" w:cs="Times New Roman"/>
          <w:color w:val="auto"/>
          <w:szCs w:val="21"/>
          <w:highlight w:val="none"/>
          <w:u w:val="single"/>
        </w:rPr>
        <w:t>无</w:t>
      </w:r>
      <w:r>
        <w:rPr>
          <w:rFonts w:ascii="Times New Roman" w:hAnsi="Times New Roman" w:cs="Times New Roman"/>
          <w:color w:val="auto"/>
          <w:szCs w:val="21"/>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55" w:name="_Toc26656943"/>
      <w:bookmarkStart w:id="56" w:name="_Toc14201212"/>
      <w:r>
        <w:rPr>
          <w:rFonts w:ascii="Times New Roman" w:hAnsi="Times New Roman" w:eastAsia="黑体" w:cs="Times New Roman"/>
          <w:bCs/>
          <w:color w:val="auto"/>
          <w:sz w:val="24"/>
          <w:szCs w:val="32"/>
          <w:highlight w:val="none"/>
        </w:rPr>
        <w:t>1.3 费用承担</w:t>
      </w:r>
      <w:bookmarkEnd w:id="55"/>
      <w:bookmarkEnd w:id="5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szCs w:val="21"/>
          <w:highlight w:val="none"/>
        </w:rPr>
        <w:t>供应商</w:t>
      </w:r>
      <w:r>
        <w:rPr>
          <w:rFonts w:ascii="Times New Roman" w:hAnsi="Times New Roman" w:cs="Times New Roman"/>
          <w:color w:val="auto"/>
          <w:highlight w:val="none"/>
        </w:rPr>
        <w:t>准备和参加询比活动发生的费用自理。</w:t>
      </w:r>
    </w:p>
    <w:p>
      <w:pPr>
        <w:keepNext/>
        <w:keepLines/>
        <w:spacing w:before="120" w:after="120"/>
        <w:outlineLvl w:val="2"/>
        <w:rPr>
          <w:rFonts w:ascii="Times New Roman" w:hAnsi="Times New Roman" w:eastAsia="黑体" w:cs="Times New Roman"/>
          <w:bCs/>
          <w:color w:val="auto"/>
          <w:sz w:val="24"/>
          <w:szCs w:val="32"/>
          <w:highlight w:val="none"/>
        </w:rPr>
      </w:pPr>
      <w:bookmarkStart w:id="57" w:name="_Toc14201213"/>
      <w:bookmarkStart w:id="58" w:name="_Toc26656944"/>
      <w:r>
        <w:rPr>
          <w:rFonts w:ascii="Times New Roman" w:hAnsi="Times New Roman" w:eastAsia="黑体" w:cs="Times New Roman"/>
          <w:bCs/>
          <w:color w:val="auto"/>
          <w:sz w:val="24"/>
          <w:szCs w:val="32"/>
          <w:highlight w:val="none"/>
        </w:rPr>
        <w:t>1.4 保密</w:t>
      </w:r>
      <w:bookmarkEnd w:id="57"/>
      <w:bookmarkEnd w:id="5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color w:val="auto"/>
          <w:sz w:val="24"/>
          <w:szCs w:val="32"/>
          <w:highlight w:val="none"/>
        </w:rPr>
      </w:pPr>
      <w:bookmarkStart w:id="59" w:name="_Toc26656946"/>
      <w:bookmarkStart w:id="60" w:name="_Toc14201215"/>
      <w:r>
        <w:rPr>
          <w:rFonts w:ascii="Times New Roman" w:hAnsi="Times New Roman" w:eastAsia="黑体" w:cs="Times New Roman"/>
          <w:bCs/>
          <w:color w:val="auto"/>
          <w:sz w:val="24"/>
          <w:szCs w:val="32"/>
          <w:highlight w:val="none"/>
        </w:rPr>
        <w:t>1.5 计量单位</w:t>
      </w:r>
      <w:bookmarkEnd w:id="59"/>
      <w:bookmarkEnd w:id="60"/>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pPr>
        <w:keepNext/>
        <w:keepLines/>
        <w:spacing w:before="120" w:after="120"/>
        <w:outlineLvl w:val="2"/>
        <w:rPr>
          <w:rFonts w:ascii="Times New Roman" w:hAnsi="Times New Roman" w:eastAsia="黑体" w:cs="Times New Roman"/>
          <w:bCs/>
          <w:color w:val="auto"/>
          <w:sz w:val="24"/>
          <w:szCs w:val="32"/>
          <w:highlight w:val="none"/>
        </w:rPr>
      </w:pPr>
      <w:bookmarkStart w:id="61" w:name="_Toc26656947"/>
      <w:bookmarkStart w:id="62" w:name="_Toc14201216"/>
      <w:r>
        <w:rPr>
          <w:rFonts w:ascii="Times New Roman" w:hAnsi="Times New Roman" w:eastAsia="黑体" w:cs="Times New Roman"/>
          <w:bCs/>
          <w:color w:val="auto"/>
          <w:sz w:val="24"/>
          <w:szCs w:val="32"/>
          <w:highlight w:val="none"/>
        </w:rPr>
        <w:t>1.6 踏勘现场</w:t>
      </w:r>
      <w:bookmarkEnd w:id="61"/>
      <w:bookmarkEnd w:id="62"/>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供应商自行踏勘现场且费用自理。</w:t>
      </w:r>
    </w:p>
    <w:p>
      <w:pPr>
        <w:keepNext/>
        <w:keepLines/>
        <w:spacing w:before="120" w:after="120"/>
        <w:outlineLvl w:val="2"/>
        <w:rPr>
          <w:rFonts w:ascii="Times New Roman" w:hAnsi="Times New Roman" w:eastAsia="黑体" w:cs="Times New Roman"/>
          <w:bCs/>
          <w:color w:val="auto"/>
          <w:sz w:val="24"/>
          <w:szCs w:val="32"/>
          <w:highlight w:val="none"/>
        </w:rPr>
      </w:pPr>
      <w:bookmarkStart w:id="63" w:name="_Toc14201218"/>
      <w:bookmarkStart w:id="64" w:name="_Toc26656949"/>
      <w:r>
        <w:rPr>
          <w:rFonts w:ascii="Times New Roman" w:hAnsi="Times New Roman" w:eastAsia="黑体" w:cs="Times New Roman"/>
          <w:bCs/>
          <w:color w:val="auto"/>
          <w:sz w:val="24"/>
          <w:szCs w:val="32"/>
          <w:highlight w:val="none"/>
        </w:rPr>
        <w:t>1.7 分包</w:t>
      </w:r>
      <w:bookmarkEnd w:id="63"/>
      <w:bookmarkEnd w:id="64"/>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不允许分包。</w:t>
      </w:r>
    </w:p>
    <w:p>
      <w:pPr>
        <w:keepNext/>
        <w:keepLines/>
        <w:spacing w:before="120" w:after="120"/>
        <w:outlineLvl w:val="2"/>
        <w:rPr>
          <w:rFonts w:ascii="Times New Roman" w:hAnsi="Times New Roman" w:eastAsia="黑体" w:cs="Times New Roman"/>
          <w:bCs/>
          <w:color w:val="auto"/>
          <w:sz w:val="24"/>
          <w:szCs w:val="32"/>
          <w:highlight w:val="none"/>
        </w:rPr>
      </w:pPr>
      <w:bookmarkStart w:id="65" w:name="_Toc14201219"/>
      <w:bookmarkStart w:id="66" w:name="_Toc26656950"/>
      <w:r>
        <w:rPr>
          <w:rFonts w:ascii="Times New Roman" w:hAnsi="Times New Roman" w:eastAsia="黑体" w:cs="Times New Roman"/>
          <w:bCs/>
          <w:color w:val="auto"/>
          <w:sz w:val="24"/>
          <w:szCs w:val="32"/>
          <w:highlight w:val="none"/>
        </w:rPr>
        <w:t>1.8 偏</w:t>
      </w:r>
      <w:bookmarkEnd w:id="65"/>
      <w:bookmarkEnd w:id="66"/>
      <w:r>
        <w:rPr>
          <w:rFonts w:ascii="Times New Roman" w:hAnsi="Times New Roman" w:eastAsia="黑体" w:cs="Times New Roman"/>
          <w:bCs/>
          <w:color w:val="auto"/>
          <w:sz w:val="24"/>
          <w:szCs w:val="32"/>
          <w:highlight w:val="none"/>
        </w:rPr>
        <w:t>差</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1.8.1 偏差包括重大偏差和细微偏差。</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67" w:name="_Toc9067721"/>
      <w:bookmarkStart w:id="68" w:name="_Toc26656951"/>
      <w:bookmarkStart w:id="69" w:name="_Toc14201220"/>
      <w:r>
        <w:rPr>
          <w:rFonts w:ascii="Times New Roman" w:hAnsi="Times New Roman" w:eastAsia="黑体" w:cs="Times New Roman"/>
          <w:bCs/>
          <w:color w:val="auto"/>
          <w:sz w:val="24"/>
          <w:szCs w:val="32"/>
          <w:highlight w:val="none"/>
        </w:rPr>
        <w:t xml:space="preserve">2. </w:t>
      </w:r>
      <w:bookmarkEnd w:id="67"/>
      <w:bookmarkEnd w:id="68"/>
      <w:bookmarkEnd w:id="69"/>
      <w:r>
        <w:rPr>
          <w:rFonts w:ascii="Times New Roman" w:hAnsi="Times New Roman" w:eastAsia="黑体" w:cs="Times New Roman"/>
          <w:bCs/>
          <w:color w:val="auto"/>
          <w:sz w:val="24"/>
          <w:szCs w:val="32"/>
          <w:highlight w:val="none"/>
        </w:rPr>
        <w:t>询比文件</w:t>
      </w:r>
    </w:p>
    <w:p>
      <w:pPr>
        <w:keepNext/>
        <w:keepLines/>
        <w:spacing w:before="120" w:after="120"/>
        <w:outlineLvl w:val="2"/>
        <w:rPr>
          <w:rFonts w:ascii="Times New Roman" w:hAnsi="Times New Roman" w:eastAsia="黑体" w:cs="Times New Roman"/>
          <w:bCs/>
          <w:color w:val="auto"/>
          <w:sz w:val="24"/>
          <w:szCs w:val="32"/>
          <w:highlight w:val="none"/>
        </w:rPr>
      </w:pPr>
      <w:bookmarkStart w:id="70" w:name="_Toc14201221"/>
      <w:bookmarkStart w:id="71" w:name="_Toc26656952"/>
      <w:r>
        <w:rPr>
          <w:rFonts w:ascii="Times New Roman" w:hAnsi="Times New Roman" w:eastAsia="黑体" w:cs="Times New Roman"/>
          <w:bCs/>
          <w:color w:val="auto"/>
          <w:sz w:val="24"/>
          <w:szCs w:val="32"/>
          <w:highlight w:val="none"/>
        </w:rPr>
        <w:t>2.1 询比文件的组成</w:t>
      </w:r>
      <w:bookmarkEnd w:id="70"/>
      <w:bookmarkEnd w:id="71"/>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（1）采购公告；</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（4）合同条款；</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（6）响应文件格式。</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根据本章第2.2款对询比文件所作的澄清、修改，构成询比文件的组成部分。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color w:val="auto"/>
          <w:sz w:val="24"/>
          <w:szCs w:val="32"/>
          <w:highlight w:val="none"/>
        </w:rPr>
      </w:pPr>
      <w:bookmarkStart w:id="72" w:name="_Toc26656953"/>
      <w:bookmarkStart w:id="73" w:name="_Toc14201222"/>
      <w:r>
        <w:rPr>
          <w:rFonts w:ascii="Times New Roman" w:hAnsi="Times New Roman" w:eastAsia="黑体" w:cs="Times New Roman"/>
          <w:bCs/>
          <w:color w:val="auto"/>
          <w:sz w:val="24"/>
          <w:szCs w:val="32"/>
          <w:highlight w:val="none"/>
        </w:rPr>
        <w:t>2.2 询比文件的澄清</w:t>
      </w:r>
      <w:bookmarkEnd w:id="72"/>
      <w:bookmarkEnd w:id="73"/>
      <w:r>
        <w:rPr>
          <w:rFonts w:ascii="Times New Roman" w:hAnsi="Times New Roman" w:eastAsia="黑体" w:cs="Times New Roman"/>
          <w:bCs/>
          <w:color w:val="auto"/>
          <w:sz w:val="24"/>
          <w:szCs w:val="32"/>
          <w:highlight w:val="none"/>
        </w:rPr>
        <w:t>与修改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 供应商如有疑问，应在递交响应文件的截止时间前3日前通过</w:t>
      </w:r>
      <w:r>
        <w:rPr>
          <w:rFonts w:hint="eastAsia" w:ascii="Times New Roman" w:hAnsi="Times New Roman" w:cs="Times New Roman"/>
          <w:color w:val="auto"/>
          <w:highlight w:val="none"/>
        </w:rPr>
        <w:t>电话或者邮箱</w:t>
      </w:r>
      <w:r>
        <w:rPr>
          <w:rFonts w:ascii="Times New Roman" w:hAnsi="Times New Roman" w:cs="Times New Roman"/>
          <w:color w:val="auto"/>
          <w:highlight w:val="none"/>
        </w:rPr>
        <w:t>要求采购人对询比文件予以澄清或修改。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74" w:name="_Toc9067722"/>
      <w:bookmarkStart w:id="75" w:name="_Toc14201225"/>
      <w:bookmarkStart w:id="76" w:name="_Toc26656956"/>
      <w:r>
        <w:rPr>
          <w:rFonts w:ascii="Times New Roman" w:hAnsi="Times New Roman" w:eastAsia="黑体" w:cs="Times New Roman"/>
          <w:bCs/>
          <w:color w:val="auto"/>
          <w:sz w:val="24"/>
          <w:szCs w:val="32"/>
          <w:highlight w:val="none"/>
        </w:rPr>
        <w:t xml:space="preserve">3. </w:t>
      </w:r>
      <w:bookmarkEnd w:id="74"/>
      <w:bookmarkEnd w:id="75"/>
      <w:bookmarkEnd w:id="76"/>
      <w:r>
        <w:rPr>
          <w:rFonts w:ascii="Times New Roman" w:hAnsi="Times New Roman" w:eastAsia="黑体" w:cs="Times New Roman"/>
          <w:bCs/>
          <w:color w:val="auto"/>
          <w:sz w:val="24"/>
          <w:szCs w:val="32"/>
          <w:highlight w:val="none"/>
        </w:rPr>
        <w:t>响应文件</w:t>
      </w:r>
    </w:p>
    <w:p>
      <w:pPr>
        <w:keepNext/>
        <w:keepLines/>
        <w:spacing w:before="120" w:after="120"/>
        <w:outlineLvl w:val="2"/>
        <w:rPr>
          <w:rFonts w:ascii="Times New Roman" w:hAnsi="Times New Roman" w:eastAsia="黑体" w:cs="Times New Roman"/>
          <w:bCs/>
          <w:color w:val="auto"/>
          <w:sz w:val="24"/>
          <w:szCs w:val="32"/>
          <w:highlight w:val="none"/>
        </w:rPr>
      </w:pPr>
      <w:bookmarkStart w:id="77" w:name="_Toc26656957"/>
      <w:bookmarkStart w:id="78" w:name="_Toc14201226"/>
      <w:r>
        <w:rPr>
          <w:rFonts w:ascii="Times New Roman" w:hAnsi="Times New Roman" w:eastAsia="黑体" w:cs="Times New Roman"/>
          <w:bCs/>
          <w:color w:val="auto"/>
          <w:sz w:val="24"/>
          <w:szCs w:val="32"/>
          <w:highlight w:val="none"/>
        </w:rPr>
        <w:t>3.1响应文件的组成</w:t>
      </w:r>
      <w:bookmarkEnd w:id="77"/>
      <w:bookmarkEnd w:id="7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投标函</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（2）法定代表人身份证明及授权委托书；</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）供应商基本情况；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）近年类似业绩情况；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）信誉情况；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）技术文件；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）其他材料。</w:t>
      </w:r>
    </w:p>
    <w:p>
      <w:pPr>
        <w:keepNext/>
        <w:keepLines/>
        <w:spacing w:before="120" w:after="120"/>
        <w:outlineLvl w:val="2"/>
        <w:rPr>
          <w:rFonts w:ascii="Times New Roman" w:hAnsi="Times New Roman" w:eastAsia="黑体" w:cs="Times New Roman"/>
          <w:bCs/>
          <w:color w:val="auto"/>
          <w:sz w:val="24"/>
          <w:szCs w:val="32"/>
          <w:highlight w:val="none"/>
        </w:rPr>
      </w:pPr>
      <w:bookmarkStart w:id="79" w:name="_Toc26656958"/>
      <w:bookmarkStart w:id="80" w:name="_Toc14201227"/>
      <w:r>
        <w:rPr>
          <w:rFonts w:ascii="Times New Roman" w:hAnsi="Times New Roman" w:eastAsia="黑体" w:cs="Times New Roman"/>
          <w:bCs/>
          <w:color w:val="auto"/>
          <w:sz w:val="24"/>
          <w:szCs w:val="32"/>
          <w:highlight w:val="none"/>
        </w:rPr>
        <w:t>3.2 报价</w:t>
      </w:r>
      <w:bookmarkEnd w:id="79"/>
      <w:bookmarkEnd w:id="80"/>
      <w:r>
        <w:rPr>
          <w:rFonts w:ascii="Times New Roman" w:hAnsi="Times New Roman" w:eastAsia="黑体" w:cs="Times New Roman"/>
          <w:bCs/>
          <w:color w:val="auto"/>
          <w:sz w:val="24"/>
          <w:szCs w:val="32"/>
          <w:highlight w:val="none"/>
        </w:rPr>
        <w:t xml:space="preserve">要求 </w:t>
      </w:r>
      <w:r>
        <w:rPr>
          <w:rFonts w:hint="eastAsia" w:ascii="Times New Roman" w:hAnsi="Times New Roman" w:cs="Times New Roman"/>
          <w:color w:val="auto"/>
          <w:highlight w:val="none"/>
        </w:rPr>
        <w:t>（不适用）</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3.2.2 供应商应按第六章“响应文件格式”的要求在</w:t>
      </w:r>
      <w:r>
        <w:rPr>
          <w:rFonts w:hint="eastAsia" w:ascii="Times New Roman" w:hAnsi="Times New Roman" w:cs="Times New Roman"/>
          <w:color w:val="auto"/>
          <w:highlight w:val="none"/>
        </w:rPr>
        <w:t>投标函</w:t>
      </w:r>
      <w:r>
        <w:rPr>
          <w:rFonts w:ascii="Times New Roman" w:hAnsi="Times New Roman" w:cs="Times New Roman"/>
          <w:color w:val="auto"/>
          <w:highlight w:val="none"/>
        </w:rPr>
        <w:t>中进行报价并填写报价清单相应表格。</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3.2.3 采购人设置了固定价的，供应商不得修改任何固定报价，否则其报价将被否决，固定价见第五章“</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采购人设置了可调价的，供应商不得提出与询比文件不一致的价格调整办法，否则其报价将被否决，调价办法见第四章“合同内容”。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采购人设有最高限价的，供应商的报价不得超过最高限价，否则其报价将被否决，最高限价见第五章“</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3.2.4本项目的报价方式为</w:t>
      </w:r>
      <w:r>
        <w:rPr>
          <w:rFonts w:ascii="Times New Roman" w:hAnsi="Times New Roman" w:cs="Times New Roman"/>
          <w:color w:val="auto"/>
          <w:highlight w:val="none"/>
          <w:u w:val="single"/>
        </w:rPr>
        <w:t>（单价/总价）</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3.2.5 报价的其他要求：</w:t>
      </w:r>
      <w:r>
        <w:rPr>
          <w:rFonts w:ascii="Times New Roman" w:hAnsi="Times New Roman" w:cs="Times New Roman"/>
          <w:color w:val="auto"/>
          <w:szCs w:val="21"/>
          <w:highlight w:val="none"/>
        </w:rPr>
        <w:t>____________</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________________</w:t>
      </w:r>
      <w:r>
        <w:rPr>
          <w:rFonts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81" w:name="_Toc26656959"/>
      <w:bookmarkStart w:id="82" w:name="_Toc14201228"/>
      <w:r>
        <w:rPr>
          <w:rFonts w:ascii="Times New Roman" w:hAnsi="Times New Roman" w:eastAsia="黑体" w:cs="Times New Roman"/>
          <w:bCs/>
          <w:color w:val="auto"/>
          <w:sz w:val="24"/>
          <w:szCs w:val="32"/>
          <w:highlight w:val="none"/>
        </w:rPr>
        <w:t>3.3</w:t>
      </w:r>
      <w:bookmarkEnd w:id="81"/>
      <w:bookmarkEnd w:id="82"/>
      <w:r>
        <w:rPr>
          <w:rFonts w:ascii="Times New Roman" w:hAnsi="Times New Roman" w:eastAsia="黑体" w:cs="Times New Roman"/>
          <w:bCs/>
          <w:color w:val="auto"/>
          <w:sz w:val="24"/>
          <w:szCs w:val="32"/>
          <w:highlight w:val="none"/>
        </w:rPr>
        <w:t>响应有效期</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自供应商递交响应文件截止之日起计算90</w:t>
      </w:r>
      <w:r>
        <w:rPr>
          <w:rFonts w:ascii="Times New Roman" w:hAnsi="Times New Roman" w:cs="Times New Roman"/>
          <w:color w:val="auto"/>
          <w:highlight w:val="none"/>
        </w:rPr>
        <w:t>日。</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color w:val="auto"/>
          <w:sz w:val="24"/>
          <w:szCs w:val="32"/>
          <w:highlight w:val="none"/>
        </w:rPr>
      </w:pPr>
      <w:bookmarkStart w:id="83" w:name="_Toc26656960"/>
      <w:bookmarkStart w:id="84" w:name="_Toc14201229"/>
      <w:r>
        <w:rPr>
          <w:rFonts w:ascii="Times New Roman" w:hAnsi="Times New Roman" w:eastAsia="黑体" w:cs="Times New Roman"/>
          <w:bCs/>
          <w:color w:val="auto"/>
          <w:sz w:val="24"/>
          <w:szCs w:val="32"/>
          <w:highlight w:val="none"/>
        </w:rPr>
        <w:t>3.4</w:t>
      </w:r>
      <w:bookmarkEnd w:id="83"/>
      <w:bookmarkEnd w:id="84"/>
      <w:r>
        <w:rPr>
          <w:rFonts w:ascii="Times New Roman" w:hAnsi="Times New Roman" w:eastAsia="黑体" w:cs="Times New Roman"/>
          <w:bCs/>
          <w:color w:val="auto"/>
          <w:sz w:val="24"/>
          <w:szCs w:val="32"/>
          <w:highlight w:val="none"/>
        </w:rPr>
        <w:t>响应保证金</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3.4.1 供应商在递交响应文件的同时，应按第一章“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”第7条的要求递交响应保证金，并作为其响应文件的组成部分。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供应商不按本章第3.4.1项要求提交响应保证金的，评审小组将否决其响应文件。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3.4.3 </w:t>
      </w:r>
      <w:r>
        <w:rPr>
          <w:rFonts w:hint="eastAsia" w:ascii="Times New Roman" w:hAnsi="Times New Roman" w:cs="Times New Roman"/>
          <w:color w:val="auto"/>
          <w:highlight w:val="none"/>
          <w:lang w:eastAsia="zh-CN"/>
        </w:rPr>
        <w:t>发放入围通知书</w:t>
      </w:r>
      <w:r>
        <w:rPr>
          <w:rFonts w:ascii="Times New Roman" w:hAnsi="Times New Roman" w:cs="Times New Roman"/>
          <w:color w:val="auto"/>
          <w:highlight w:val="none"/>
        </w:rPr>
        <w:t>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日内办理退还响应保证金手续。</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ascii="Times New Roman" w:hAnsi="Times New Roman" w:cs="Times New Roman"/>
          <w:color w:val="auto"/>
          <w:szCs w:val="21"/>
          <w:highlight w:val="none"/>
        </w:rPr>
        <w:t>____________________</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________（其他情形）</w:t>
      </w:r>
      <w:r>
        <w:rPr>
          <w:rFonts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85" w:name="_Toc14201230"/>
      <w:bookmarkStart w:id="86" w:name="_Toc26656961"/>
      <w:r>
        <w:rPr>
          <w:rFonts w:ascii="Times New Roman" w:hAnsi="Times New Roman" w:eastAsia="黑体" w:cs="Times New Roman"/>
          <w:bCs/>
          <w:color w:val="auto"/>
          <w:sz w:val="24"/>
          <w:szCs w:val="32"/>
          <w:highlight w:val="none"/>
        </w:rPr>
        <w:t>3.5资格审查资料</w:t>
      </w:r>
      <w:bookmarkEnd w:id="85"/>
      <w:bookmarkEnd w:id="8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color w:val="auto"/>
          <w:sz w:val="24"/>
          <w:szCs w:val="32"/>
          <w:highlight w:val="none"/>
        </w:rPr>
      </w:pPr>
      <w:bookmarkStart w:id="87" w:name="_Toc14201232"/>
      <w:bookmarkStart w:id="88" w:name="_Toc26656963"/>
      <w:r>
        <w:rPr>
          <w:rFonts w:ascii="Times New Roman" w:hAnsi="Times New Roman" w:eastAsia="黑体" w:cs="Times New Roman"/>
          <w:bCs/>
          <w:color w:val="auto"/>
          <w:sz w:val="24"/>
          <w:szCs w:val="32"/>
          <w:highlight w:val="none"/>
        </w:rPr>
        <w:t>3.6响应文件的编制</w:t>
      </w:r>
      <w:bookmarkEnd w:id="87"/>
      <w:bookmarkEnd w:id="8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3.6.1 响应文件应按第六章“响应文件格式”进行编写，如有必要，可以增加附页，作为响应文件的组成部分。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3.6.2 响应文件应当对询比文件有关</w:t>
      </w:r>
      <w:r>
        <w:rPr>
          <w:rFonts w:hint="eastAsia" w:ascii="Times New Roman" w:hAnsi="Times New Roman" w:cs="Times New Roman"/>
          <w:color w:val="auto"/>
          <w:highlight w:val="none"/>
        </w:rPr>
        <w:t>入库有效期</w:t>
      </w:r>
      <w:r>
        <w:rPr>
          <w:rFonts w:ascii="Times New Roman" w:hAnsi="Times New Roman" w:cs="Times New Roman"/>
          <w:color w:val="auto"/>
          <w:highlight w:val="none"/>
        </w:rPr>
        <w:t>、响应有效期、质量要求、技术标准和要求、采购范围等实质性内容作出响应。</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3.6.3响应文件的制作应满足以下规定：</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（2）响应文件正本一份，副本</w:t>
      </w:r>
      <w:r>
        <w:rPr>
          <w:rFonts w:hint="eastAsia" w:ascii="Times New Roman" w:hAnsi="Times New Roman" w:cs="Times New Roman"/>
          <w:color w:val="auto"/>
          <w:highlight w:val="none"/>
          <w:lang w:val="en-US" w:eastAsia="zh-CN"/>
        </w:rPr>
        <w:t>一</w:t>
      </w:r>
      <w:r>
        <w:rPr>
          <w:rFonts w:ascii="Times New Roman" w:hAnsi="Times New Roman" w:cs="Times New Roman"/>
          <w:color w:val="auto"/>
          <w:highlight w:val="none"/>
        </w:rPr>
        <w:t>份数。正本和副本的封面右上角上应清楚地标记“正本”或“副本”的字样。当副本和正本不一致时，以正本文件为准。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（3）响应文件的正本与副本应分别装订。</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89" w:name="_Toc14201233"/>
      <w:bookmarkStart w:id="90" w:name="_Toc26656964"/>
      <w:bookmarkStart w:id="91" w:name="_Toc9067723"/>
      <w:r>
        <w:rPr>
          <w:rFonts w:ascii="Times New Roman" w:hAnsi="Times New Roman" w:eastAsia="黑体" w:cs="Times New Roman"/>
          <w:bCs/>
          <w:color w:val="auto"/>
          <w:sz w:val="24"/>
          <w:szCs w:val="32"/>
          <w:highlight w:val="none"/>
        </w:rPr>
        <w:t xml:space="preserve">4. </w:t>
      </w:r>
      <w:bookmarkEnd w:id="89"/>
      <w:bookmarkEnd w:id="90"/>
      <w:bookmarkEnd w:id="91"/>
      <w:r>
        <w:rPr>
          <w:rFonts w:ascii="Times New Roman" w:hAnsi="Times New Roman" w:eastAsia="黑体" w:cs="Times New Roman"/>
          <w:bCs/>
          <w:color w:val="auto"/>
          <w:sz w:val="24"/>
          <w:szCs w:val="32"/>
          <w:highlight w:val="none"/>
        </w:rPr>
        <w:t>响应文件的递交</w:t>
      </w:r>
    </w:p>
    <w:p>
      <w:pPr>
        <w:keepNext/>
        <w:keepLines/>
        <w:spacing w:before="120" w:after="120"/>
        <w:outlineLvl w:val="2"/>
        <w:rPr>
          <w:rFonts w:ascii="Times New Roman" w:hAnsi="Times New Roman" w:eastAsia="黑体" w:cs="Times New Roman"/>
          <w:bCs/>
          <w:color w:val="auto"/>
          <w:sz w:val="24"/>
          <w:szCs w:val="32"/>
          <w:highlight w:val="none"/>
        </w:rPr>
      </w:pPr>
      <w:bookmarkStart w:id="92" w:name="_Toc26656965"/>
      <w:bookmarkStart w:id="93" w:name="_Toc14201234"/>
      <w:r>
        <w:rPr>
          <w:rFonts w:ascii="Times New Roman" w:hAnsi="Times New Roman" w:eastAsia="黑体" w:cs="Times New Roman"/>
          <w:bCs/>
          <w:color w:val="auto"/>
          <w:sz w:val="24"/>
          <w:szCs w:val="32"/>
          <w:highlight w:val="none"/>
        </w:rPr>
        <w:t>4.1响应文件的密封和标记</w:t>
      </w:r>
      <w:bookmarkEnd w:id="92"/>
      <w:bookmarkEnd w:id="93"/>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4.1.1响应文件正、副本应密封包装在一个封套内，封套上注明：</w:t>
      </w:r>
    </w:p>
    <w:p>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rPr>
        <w:t>供应商名称：</w:t>
      </w:r>
      <w:r>
        <w:rPr>
          <w:rFonts w:ascii="Times New Roman" w:hAnsi="Times New Roman" w:eastAsia="黑体" w:cs="Times New Roman"/>
          <w:bCs/>
          <w:snapToGrid w:val="0"/>
          <w:color w:val="auto"/>
          <w:kern w:val="0"/>
          <w:szCs w:val="21"/>
          <w:highlight w:val="none"/>
          <w:u w:val="single"/>
        </w:rPr>
        <w:t xml:space="preserve">            </w:t>
      </w:r>
    </w:p>
    <w:p>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(项目</w:t>
      </w:r>
      <w:r>
        <w:rPr>
          <w:rFonts w:ascii="Times New Roman" w:hAnsi="Times New Roman" w:eastAsia="黑体" w:cs="Times New Roman"/>
          <w:color w:val="auto"/>
          <w:highlight w:val="none"/>
        </w:rPr>
        <w:t>名称</w:t>
      </w:r>
      <w:r>
        <w:rPr>
          <w:rFonts w:ascii="Times New Roman" w:hAnsi="Times New Roman" w:eastAsia="黑体" w:cs="Times New Roman"/>
          <w:bCs/>
          <w:snapToGrid w:val="0"/>
          <w:color w:val="auto"/>
          <w:kern w:val="0"/>
          <w:szCs w:val="21"/>
          <w:highlight w:val="none"/>
        </w:rPr>
        <w:t>)</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合同包响应文件</w:t>
      </w:r>
    </w:p>
    <w:p>
      <w:pPr>
        <w:spacing w:line="440" w:lineRule="exact"/>
        <w:ind w:firstLine="420"/>
        <w:rPr>
          <w:rFonts w:ascii="Times New Roman" w:hAnsi="Times New Roman" w:eastAsia="黑体" w:cs="Times New Roman"/>
          <w:color w:val="auto"/>
          <w:highlight w:val="none"/>
        </w:rPr>
      </w:pPr>
      <w:r>
        <w:rPr>
          <w:rFonts w:ascii="Times New Roman" w:hAnsi="Times New Roman" w:eastAsia="黑体" w:cs="Times New Roman"/>
          <w:bCs/>
          <w:snapToGrid w:val="0"/>
          <w:color w:val="auto"/>
          <w:kern w:val="0"/>
          <w:szCs w:val="21"/>
          <w:highlight w:val="none"/>
        </w:rPr>
        <w:t>在</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年</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月</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日</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时</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分（递交响应文件的截止时间）前不得开启</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4.1.2未按本章第4.1.1项要求密封的响应文件，采购人将予以拒收。</w:t>
      </w:r>
    </w:p>
    <w:p>
      <w:pPr>
        <w:keepNext/>
        <w:keepLines/>
        <w:spacing w:before="120" w:after="120"/>
        <w:outlineLvl w:val="2"/>
        <w:rPr>
          <w:rFonts w:ascii="Times New Roman" w:hAnsi="Times New Roman" w:eastAsia="黑体" w:cs="Times New Roman"/>
          <w:bCs/>
          <w:color w:val="auto"/>
          <w:sz w:val="24"/>
          <w:szCs w:val="32"/>
          <w:highlight w:val="none"/>
        </w:rPr>
      </w:pPr>
      <w:bookmarkStart w:id="94" w:name="_Toc26656966"/>
      <w:bookmarkStart w:id="95" w:name="_Toc14201235"/>
      <w:r>
        <w:rPr>
          <w:rFonts w:ascii="Times New Roman" w:hAnsi="Times New Roman" w:eastAsia="黑体" w:cs="Times New Roman"/>
          <w:bCs/>
          <w:color w:val="auto"/>
          <w:sz w:val="24"/>
          <w:szCs w:val="32"/>
          <w:highlight w:val="none"/>
        </w:rPr>
        <w:t>4.2 响应文件的递交</w:t>
      </w:r>
      <w:bookmarkEnd w:id="94"/>
      <w:bookmarkEnd w:id="95"/>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4.2.1供应商应当按照第一章“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ascii="Times New Roman" w:hAnsi="Times New Roman" w:cs="Times New Roman"/>
          <w:color w:val="auto"/>
          <w:szCs w:val="21"/>
          <w:highlight w:val="none"/>
        </w:rPr>
        <w:t>第5条的规定递交响应文件</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4.2.2 递交响应文件的供应商数量不足3家时，采购人将宣布本次采购失败，并退还已递交的响应文件。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96" w:name="_Toc26656968"/>
      <w:bookmarkStart w:id="97" w:name="_Toc14201237"/>
      <w:bookmarkStart w:id="98" w:name="_Toc9067724"/>
      <w:r>
        <w:rPr>
          <w:rFonts w:ascii="Times New Roman" w:hAnsi="Times New Roman" w:eastAsia="黑体" w:cs="Times New Roman"/>
          <w:bCs/>
          <w:color w:val="auto"/>
          <w:sz w:val="24"/>
          <w:szCs w:val="32"/>
          <w:highlight w:val="none"/>
        </w:rPr>
        <w:t xml:space="preserve">5. </w:t>
      </w:r>
      <w:bookmarkEnd w:id="96"/>
      <w:bookmarkEnd w:id="97"/>
      <w:bookmarkEnd w:id="98"/>
      <w:r>
        <w:rPr>
          <w:rFonts w:ascii="Times New Roman" w:hAnsi="Times New Roman" w:eastAsia="黑体" w:cs="Times New Roman"/>
          <w:bCs/>
          <w:color w:val="auto"/>
          <w:sz w:val="24"/>
          <w:szCs w:val="32"/>
          <w:highlight w:val="none"/>
        </w:rPr>
        <w:t>启封</w:t>
      </w:r>
    </w:p>
    <w:p>
      <w:pPr>
        <w:keepNext/>
        <w:keepLines/>
        <w:spacing w:before="120" w:after="120"/>
        <w:outlineLvl w:val="2"/>
        <w:rPr>
          <w:rFonts w:ascii="Times New Roman" w:hAnsi="Times New Roman" w:eastAsia="黑体" w:cs="Times New Roman"/>
          <w:bCs/>
          <w:color w:val="auto"/>
          <w:sz w:val="24"/>
          <w:szCs w:val="32"/>
          <w:highlight w:val="none"/>
        </w:rPr>
      </w:pPr>
      <w:bookmarkStart w:id="99" w:name="_Toc14201238"/>
      <w:bookmarkStart w:id="100" w:name="_Toc26656969"/>
      <w:r>
        <w:rPr>
          <w:rFonts w:ascii="Times New Roman" w:hAnsi="Times New Roman" w:eastAsia="黑体" w:cs="Times New Roman"/>
          <w:bCs/>
          <w:color w:val="auto"/>
          <w:sz w:val="24"/>
          <w:szCs w:val="32"/>
          <w:highlight w:val="none"/>
        </w:rPr>
        <w:t>5.1 启封时间和地点</w:t>
      </w:r>
      <w:bookmarkEnd w:id="99"/>
      <w:bookmarkEnd w:id="100"/>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采购人在本章第4.2.1项规定的响应文件递交截止时间（启封时间），按照第一章“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ascii="Times New Roman" w:hAnsi="Times New Roman" w:cs="Times New Roman"/>
          <w:color w:val="auto"/>
          <w:szCs w:val="21"/>
          <w:highlight w:val="none"/>
        </w:rPr>
        <w:t>第6条的规定进行启封</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color w:val="auto"/>
          <w:sz w:val="24"/>
          <w:szCs w:val="32"/>
          <w:highlight w:val="none"/>
        </w:rPr>
      </w:pPr>
      <w:bookmarkStart w:id="101" w:name="_Toc26656970"/>
      <w:bookmarkStart w:id="102" w:name="_Toc14201239"/>
      <w:r>
        <w:rPr>
          <w:rFonts w:ascii="Times New Roman" w:hAnsi="Times New Roman" w:eastAsia="黑体" w:cs="Times New Roman"/>
          <w:bCs/>
          <w:color w:val="auto"/>
          <w:sz w:val="24"/>
          <w:szCs w:val="32"/>
          <w:highlight w:val="none"/>
        </w:rPr>
        <w:t>5.2启封程序</w:t>
      </w:r>
      <w:bookmarkEnd w:id="101"/>
      <w:bookmarkEnd w:id="102"/>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（1）公布在响应文件递交截止时间前递交响应文件的供应商名称；</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pPr>
        <w:spacing w:line="440" w:lineRule="exact"/>
        <w:ind w:firstLine="420"/>
        <w:rPr>
          <w:rFonts w:ascii="Times New Roman" w:hAnsi="Times New Roman" w:cs="Times New Roman"/>
          <w:bCs/>
          <w:color w:val="auto"/>
          <w:highlight w:val="none"/>
        </w:rPr>
      </w:pPr>
      <w:r>
        <w:rPr>
          <w:rFonts w:ascii="Times New Roman" w:hAnsi="Times New Roman" w:cs="Times New Roman"/>
          <w:color w:val="auto"/>
          <w:highlight w:val="none"/>
        </w:rPr>
        <w:t>（3）</w:t>
      </w:r>
      <w:r>
        <w:rPr>
          <w:rFonts w:ascii="Times New Roman" w:hAnsi="Times New Roman" w:cs="Times New Roman"/>
          <w:bCs/>
          <w:color w:val="auto"/>
          <w:highlight w:val="none"/>
        </w:rPr>
        <w:t>对响应文件进行启封，公布供应商名称、合同包名称、报价</w:t>
      </w:r>
      <w:r>
        <w:rPr>
          <w:rFonts w:hint="eastAsia" w:ascii="Times New Roman" w:hAnsi="Times New Roman" w:cs="Times New Roman"/>
          <w:bCs/>
          <w:color w:val="auto"/>
          <w:highlight w:val="none"/>
        </w:rPr>
        <w:t>（如有）</w:t>
      </w:r>
      <w:r>
        <w:rPr>
          <w:rFonts w:ascii="Times New Roman" w:hAnsi="Times New Roman" w:cs="Times New Roman"/>
          <w:bCs/>
          <w:color w:val="auto"/>
          <w:highlight w:val="none"/>
        </w:rPr>
        <w:t>、质量目标</w:t>
      </w:r>
      <w:r>
        <w:rPr>
          <w:rFonts w:hint="eastAsia" w:ascii="Times New Roman" w:hAnsi="Times New Roman" w:cs="Times New Roman"/>
          <w:bCs/>
          <w:color w:val="auto"/>
          <w:highlight w:val="none"/>
        </w:rPr>
        <w:t>（如有）</w:t>
      </w:r>
      <w:r>
        <w:rPr>
          <w:rFonts w:ascii="Times New Roman" w:hAnsi="Times New Roman" w:cs="Times New Roman"/>
          <w:bCs/>
          <w:color w:val="auto"/>
          <w:highlight w:val="none"/>
        </w:rPr>
        <w:t>、</w:t>
      </w:r>
      <w:r>
        <w:rPr>
          <w:rFonts w:hint="eastAsia" w:ascii="Times New Roman" w:hAnsi="Times New Roman" w:cs="Times New Roman"/>
          <w:color w:val="auto"/>
          <w:szCs w:val="22"/>
          <w:highlight w:val="none"/>
        </w:rPr>
        <w:t>入库有效期</w:t>
      </w:r>
      <w:r>
        <w:rPr>
          <w:rFonts w:ascii="Times New Roman" w:hAnsi="Times New Roman" w:cs="Times New Roman"/>
          <w:bCs/>
          <w:color w:val="auto"/>
          <w:highlight w:val="none"/>
        </w:rPr>
        <w:t>、响应保证金递交情况及其他内容；</w:t>
      </w:r>
    </w:p>
    <w:p>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（4）</w:t>
      </w:r>
      <w:r>
        <w:rPr>
          <w:rFonts w:ascii="Times New Roman" w:hAnsi="Times New Roman" w:cs="Times New Roman"/>
          <w:color w:val="auto"/>
          <w:highlight w:val="none"/>
        </w:rPr>
        <w:t>供应商代表、采购人代表等有关人员在启封记录上签名确认；</w:t>
      </w:r>
    </w:p>
    <w:p>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（5）启封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5.2.2供应商在启封过程中有疑问的，应当在现场提出，采购人将当场作出答复。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03" w:name="_Toc26656972"/>
      <w:bookmarkStart w:id="104" w:name="_Toc9067725"/>
      <w:bookmarkStart w:id="105" w:name="_Toc14201241"/>
      <w:r>
        <w:rPr>
          <w:rFonts w:ascii="Times New Roman" w:hAnsi="Times New Roman" w:eastAsia="黑体" w:cs="Times New Roman"/>
          <w:bCs/>
          <w:color w:val="auto"/>
          <w:sz w:val="24"/>
          <w:szCs w:val="32"/>
          <w:highlight w:val="none"/>
        </w:rPr>
        <w:t>6. 评</w:t>
      </w:r>
      <w:bookmarkEnd w:id="103"/>
      <w:bookmarkEnd w:id="104"/>
      <w:bookmarkEnd w:id="105"/>
      <w:r>
        <w:rPr>
          <w:rFonts w:ascii="Times New Roman" w:hAnsi="Times New Roman" w:eastAsia="黑体" w:cs="Times New Roman"/>
          <w:bCs/>
          <w:color w:val="auto"/>
          <w:sz w:val="24"/>
          <w:szCs w:val="32"/>
          <w:highlight w:val="none"/>
        </w:rPr>
        <w:t>审</w:t>
      </w:r>
    </w:p>
    <w:p>
      <w:pPr>
        <w:keepNext/>
        <w:keepLines/>
        <w:spacing w:before="120" w:after="120"/>
        <w:outlineLvl w:val="2"/>
        <w:rPr>
          <w:rFonts w:ascii="Times New Roman" w:hAnsi="Times New Roman" w:eastAsia="黑体" w:cs="Times New Roman"/>
          <w:bCs/>
          <w:color w:val="auto"/>
          <w:sz w:val="24"/>
          <w:szCs w:val="32"/>
          <w:highlight w:val="none"/>
        </w:rPr>
      </w:pPr>
      <w:bookmarkStart w:id="106" w:name="_Toc14201242"/>
      <w:bookmarkStart w:id="107" w:name="_Toc26656973"/>
      <w:r>
        <w:rPr>
          <w:rFonts w:ascii="Times New Roman" w:hAnsi="Times New Roman" w:eastAsia="黑体" w:cs="Times New Roman"/>
          <w:bCs/>
          <w:color w:val="auto"/>
          <w:sz w:val="24"/>
          <w:szCs w:val="32"/>
          <w:highlight w:val="none"/>
        </w:rPr>
        <w:t>6.1</w:t>
      </w:r>
      <w:bookmarkEnd w:id="106"/>
      <w:bookmarkEnd w:id="107"/>
      <w:r>
        <w:rPr>
          <w:rFonts w:ascii="Times New Roman" w:hAnsi="Times New Roman" w:eastAsia="黑体" w:cs="Times New Roman"/>
          <w:bCs/>
          <w:color w:val="auto"/>
          <w:sz w:val="24"/>
          <w:szCs w:val="32"/>
          <w:highlight w:val="none"/>
        </w:rPr>
        <w:t>评审小组</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评审由采购人自行组建的评审小组负责。评审小组人数：3~7人（单数）。</w:t>
      </w:r>
    </w:p>
    <w:p>
      <w:pPr>
        <w:keepNext/>
        <w:keepLines/>
        <w:spacing w:before="120" w:after="120"/>
        <w:outlineLvl w:val="2"/>
        <w:rPr>
          <w:rFonts w:ascii="Times New Roman" w:hAnsi="Times New Roman" w:eastAsia="黑体" w:cs="Times New Roman"/>
          <w:bCs/>
          <w:color w:val="auto"/>
          <w:sz w:val="24"/>
          <w:szCs w:val="32"/>
          <w:highlight w:val="none"/>
        </w:rPr>
      </w:pPr>
      <w:bookmarkStart w:id="108" w:name="_Toc14201244"/>
      <w:bookmarkStart w:id="109" w:name="_Toc26656975"/>
      <w:r>
        <w:rPr>
          <w:rFonts w:ascii="Times New Roman" w:hAnsi="Times New Roman" w:eastAsia="黑体" w:cs="Times New Roman"/>
          <w:bCs/>
          <w:color w:val="auto"/>
          <w:sz w:val="24"/>
          <w:szCs w:val="32"/>
          <w:highlight w:val="none"/>
        </w:rPr>
        <w:t>6.2评</w:t>
      </w:r>
      <w:bookmarkEnd w:id="108"/>
      <w:bookmarkEnd w:id="109"/>
      <w:r>
        <w:rPr>
          <w:rFonts w:ascii="Times New Roman" w:hAnsi="Times New Roman" w:eastAsia="黑体" w:cs="Times New Roman"/>
          <w:bCs/>
          <w:color w:val="auto"/>
          <w:sz w:val="24"/>
          <w:szCs w:val="32"/>
          <w:highlight w:val="none"/>
        </w:rPr>
        <w:t>审</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6.2.1评审小组按照第三章“评审办法”规定的方法、评审因素、标准和程序对响应文件进行评审。</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6.2.2评审完成后，评审小组应向采购人提交书面评审报告和入围候选人名单。</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10" w:name="_Toc9067726"/>
      <w:bookmarkStart w:id="111" w:name="_Toc26656976"/>
      <w:bookmarkStart w:id="112" w:name="_Toc14201245"/>
      <w:r>
        <w:rPr>
          <w:rFonts w:ascii="Times New Roman" w:hAnsi="Times New Roman" w:eastAsia="黑体" w:cs="Times New Roman"/>
          <w:bCs/>
          <w:color w:val="auto"/>
          <w:sz w:val="24"/>
          <w:szCs w:val="32"/>
          <w:highlight w:val="none"/>
        </w:rPr>
        <w:t>7. 合同授予</w:t>
      </w:r>
      <w:bookmarkEnd w:id="110"/>
      <w:bookmarkEnd w:id="111"/>
      <w:bookmarkEnd w:id="112"/>
    </w:p>
    <w:p>
      <w:pPr>
        <w:keepNext/>
        <w:keepLines/>
        <w:spacing w:before="120" w:after="120"/>
        <w:outlineLvl w:val="2"/>
        <w:rPr>
          <w:rFonts w:ascii="Times New Roman" w:hAnsi="Times New Roman" w:eastAsia="黑体" w:cs="Times New Roman"/>
          <w:bCs/>
          <w:color w:val="auto"/>
          <w:sz w:val="24"/>
          <w:szCs w:val="32"/>
          <w:highlight w:val="none"/>
        </w:rPr>
      </w:pPr>
      <w:bookmarkStart w:id="113" w:name="_Toc26656977"/>
      <w:bookmarkStart w:id="114" w:name="_Toc14201246"/>
      <w:r>
        <w:rPr>
          <w:rFonts w:ascii="Times New Roman" w:hAnsi="Times New Roman" w:eastAsia="黑体" w:cs="Times New Roman"/>
          <w:bCs/>
          <w:color w:val="auto"/>
          <w:sz w:val="24"/>
          <w:szCs w:val="32"/>
          <w:highlight w:val="none"/>
        </w:rPr>
        <w:t>7.1入围候选人公示</w:t>
      </w:r>
      <w:bookmarkEnd w:id="113"/>
      <w:bookmarkEnd w:id="114"/>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采用公开询比方式采购的项目，公示期不得少于2日。</w:t>
      </w:r>
    </w:p>
    <w:p>
      <w:pPr>
        <w:keepNext/>
        <w:keepLines/>
        <w:spacing w:before="120" w:after="120"/>
        <w:outlineLvl w:val="2"/>
        <w:rPr>
          <w:rFonts w:ascii="Times New Roman" w:hAnsi="Times New Roman" w:eastAsia="黑体" w:cs="Times New Roman"/>
          <w:bCs/>
          <w:color w:val="auto"/>
          <w:sz w:val="24"/>
          <w:szCs w:val="32"/>
          <w:highlight w:val="none"/>
        </w:rPr>
      </w:pPr>
      <w:bookmarkStart w:id="115" w:name="_Toc26656978"/>
      <w:bookmarkStart w:id="116" w:name="_Toc14201247"/>
      <w:r>
        <w:rPr>
          <w:rFonts w:ascii="Times New Roman" w:hAnsi="Times New Roman" w:eastAsia="黑体" w:cs="Times New Roman"/>
          <w:bCs/>
          <w:color w:val="auto"/>
          <w:sz w:val="24"/>
          <w:szCs w:val="32"/>
          <w:highlight w:val="none"/>
        </w:rPr>
        <w:t>7.2评审结果异议</w:t>
      </w:r>
      <w:bookmarkEnd w:id="115"/>
      <w:bookmarkEnd w:id="11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供应商或其他利害关系人对评审结果有异议的，应在入围候选人公示期间提出。</w:t>
      </w:r>
    </w:p>
    <w:p>
      <w:pPr>
        <w:keepNext/>
        <w:keepLines/>
        <w:spacing w:before="120" w:after="120"/>
        <w:outlineLvl w:val="2"/>
        <w:rPr>
          <w:rFonts w:ascii="Times New Roman" w:hAnsi="Times New Roman" w:eastAsia="黑体" w:cs="Times New Roman"/>
          <w:bCs/>
          <w:color w:val="auto"/>
          <w:sz w:val="24"/>
          <w:szCs w:val="32"/>
          <w:highlight w:val="none"/>
        </w:rPr>
      </w:pPr>
      <w:bookmarkStart w:id="117" w:name="_Toc26656979"/>
      <w:bookmarkStart w:id="118" w:name="_Toc14201248"/>
      <w:r>
        <w:rPr>
          <w:rFonts w:ascii="Times New Roman" w:hAnsi="Times New Roman" w:eastAsia="黑体" w:cs="Times New Roman"/>
          <w:bCs/>
          <w:color w:val="auto"/>
          <w:sz w:val="24"/>
          <w:szCs w:val="32"/>
          <w:highlight w:val="none"/>
        </w:rPr>
        <w:t>7.3入围候选人履约能力审查</w:t>
      </w:r>
      <w:bookmarkEnd w:id="117"/>
      <w:bookmarkEnd w:id="11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入围候选人的经营、财务状况发生较大变化或存在违法行为，采购人认为可能影响其履约能力的，将在发出入围通知书前提请原评审小组按照询比文件规定的标准和方法进行审查确认。</w:t>
      </w:r>
    </w:p>
    <w:p>
      <w:pPr>
        <w:keepNext/>
        <w:keepLines/>
        <w:spacing w:before="120" w:after="120"/>
        <w:outlineLvl w:val="2"/>
        <w:rPr>
          <w:rFonts w:ascii="Times New Roman" w:hAnsi="Times New Roman" w:eastAsia="黑体" w:cs="Times New Roman"/>
          <w:bCs/>
          <w:color w:val="auto"/>
          <w:sz w:val="24"/>
          <w:szCs w:val="32"/>
          <w:highlight w:val="none"/>
        </w:rPr>
      </w:pPr>
      <w:bookmarkStart w:id="119" w:name="_Toc26656984"/>
      <w:bookmarkStart w:id="120" w:name="_Toc14201253"/>
      <w:r>
        <w:rPr>
          <w:rFonts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rPr>
        <w:t>4</w:t>
      </w:r>
      <w:bookmarkEnd w:id="119"/>
      <w:bookmarkEnd w:id="120"/>
      <w:r>
        <w:rPr>
          <w:rFonts w:hint="eastAsia" w:ascii="Times New Roman" w:hAnsi="Times New Roman" w:eastAsia="黑体" w:cs="Times New Roman"/>
          <w:bCs/>
          <w:color w:val="auto"/>
          <w:sz w:val="24"/>
          <w:szCs w:val="32"/>
          <w:highlight w:val="none"/>
        </w:rPr>
        <w:t>入围通知书</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入围</w:t>
      </w:r>
      <w:r>
        <w:rPr>
          <w:rFonts w:hint="eastAsia" w:ascii="Times New Roman" w:hAnsi="Times New Roman" w:cs="Times New Roman"/>
          <w:color w:val="auto"/>
          <w:highlight w:val="none"/>
        </w:rPr>
        <w:t>后30日内发放入围</w:t>
      </w:r>
      <w:r>
        <w:rPr>
          <w:rFonts w:ascii="Times New Roman" w:hAnsi="Times New Roman" w:cs="Times New Roman"/>
          <w:color w:val="auto"/>
          <w:highlight w:val="none"/>
        </w:rPr>
        <w:t>通知书</w:t>
      </w:r>
      <w:r>
        <w:rPr>
          <w:rFonts w:hint="eastAsia" w:ascii="Times New Roman" w:hAnsi="Times New Roman" w:cs="Times New Roman"/>
          <w:color w:val="auto"/>
          <w:highlight w:val="none"/>
        </w:rPr>
        <w:t>，入围通知书为库内比选唯一凭证</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供应商入围后，采购人将按照以下原则在</w:t>
      </w:r>
      <w:r>
        <w:rPr>
          <w:rFonts w:hint="eastAsia" w:ascii="Times New Roman" w:hAnsi="Times New Roman" w:cs="Times New Roman"/>
          <w:color w:val="auto"/>
          <w:highlight w:val="none"/>
        </w:rPr>
        <w:t>入库有效期</w:t>
      </w:r>
      <w:r>
        <w:rPr>
          <w:rFonts w:ascii="Times New Roman" w:hAnsi="Times New Roman" w:cs="Times New Roman"/>
          <w:color w:val="auto"/>
          <w:highlight w:val="none"/>
        </w:rPr>
        <w:t>内授予项目：</w:t>
      </w:r>
      <w:r>
        <w:rPr>
          <w:rFonts w:hint="eastAsia" w:ascii="Times New Roman" w:hAnsi="Times New Roman" w:cs="Times New Roman"/>
          <w:color w:val="auto"/>
          <w:highlight w:val="none"/>
        </w:rPr>
        <w:t>开展库内比选，采用</w:t>
      </w:r>
      <w:r>
        <w:rPr>
          <w:rFonts w:hint="eastAsia" w:ascii="Times New Roman" w:hAnsi="Times New Roman" w:cs="Times New Roman"/>
          <w:color w:val="auto"/>
          <w:highlight w:val="none"/>
          <w:lang w:eastAsia="zh-CN"/>
        </w:rPr>
        <w:t>综合评分法</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eastAsia="zh-CN"/>
        </w:rPr>
        <w:t>报价</w:t>
      </w:r>
      <w:r>
        <w:rPr>
          <w:rFonts w:hint="eastAsia" w:ascii="Times New Roman" w:hAnsi="Times New Roman" w:cs="Times New Roman"/>
          <w:color w:val="auto"/>
          <w:highlight w:val="none"/>
          <w:lang w:val="en-US" w:eastAsia="zh-CN"/>
        </w:rPr>
        <w:t>75分，项目管理机构20分，其他5分</w:t>
      </w:r>
      <w:r>
        <w:rPr>
          <w:rFonts w:hint="eastAsia" w:ascii="Times New Roman" w:hAnsi="Times New Roman" w:cs="Times New Roman"/>
          <w:color w:val="auto"/>
          <w:highlight w:val="none"/>
        </w:rPr>
        <w:t>。采购人根据项目需求分批次采购</w:t>
      </w:r>
      <w:r>
        <w:rPr>
          <w:rFonts w:hint="eastAsia" w:ascii="Times New Roman" w:hAnsi="Times New Roman" w:cs="Times New Roman"/>
          <w:color w:val="auto"/>
          <w:highlight w:val="none"/>
          <w:lang w:eastAsia="zh-CN"/>
        </w:rPr>
        <w:t>，库内比选方式适时调整</w:t>
      </w:r>
      <w:r>
        <w:rPr>
          <w:rFonts w:hint="eastAsia" w:ascii="Times New Roman" w:hAnsi="Times New Roman" w:cs="Times New Roman"/>
          <w:color w:val="auto"/>
          <w:highlight w:val="none"/>
        </w:rPr>
        <w:t>。</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21" w:name="_Toc26656988"/>
      <w:bookmarkStart w:id="122" w:name="_Toc9067727"/>
      <w:bookmarkStart w:id="123" w:name="_Toc14201257"/>
      <w:r>
        <w:rPr>
          <w:rFonts w:ascii="Times New Roman" w:hAnsi="Times New Roman" w:eastAsia="黑体" w:cs="Times New Roman"/>
          <w:bCs/>
          <w:color w:val="auto"/>
          <w:sz w:val="24"/>
          <w:szCs w:val="32"/>
          <w:highlight w:val="none"/>
        </w:rPr>
        <w:t>8. 纪律和监督</w:t>
      </w:r>
      <w:bookmarkEnd w:id="121"/>
      <w:bookmarkEnd w:id="122"/>
      <w:bookmarkEnd w:id="123"/>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供应商不得相互串通报价或与采购人串通报价，不得向采购人或评审小组成员行贿谋取成交，不得以他人名义报价或以其他方式弄虚作假骗取入围；供应商不得以任何方式干扰、影响评审工作。</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24" w:name="_Toc14201262"/>
      <w:bookmarkStart w:id="125" w:name="_Toc26656993"/>
      <w:r>
        <w:rPr>
          <w:rFonts w:ascii="Times New Roman" w:hAnsi="Times New Roman" w:eastAsia="黑体" w:cs="Times New Roman"/>
          <w:bCs/>
          <w:color w:val="auto"/>
          <w:sz w:val="24"/>
          <w:szCs w:val="32"/>
          <w:highlight w:val="none"/>
        </w:rPr>
        <w:t>9</w:t>
      </w:r>
      <w:bookmarkEnd w:id="124"/>
      <w:bookmarkEnd w:id="125"/>
      <w:bookmarkStart w:id="126" w:name="_Toc14201263"/>
      <w:bookmarkStart w:id="127" w:name="_Toc9067731"/>
      <w:bookmarkStart w:id="128" w:name="_Toc26656994"/>
      <w:r>
        <w:rPr>
          <w:rFonts w:hint="eastAsia" w:ascii="Times New Roman" w:hAnsi="Times New Roman" w:eastAsia="黑体" w:cs="Times New Roman"/>
          <w:bCs/>
          <w:color w:val="auto"/>
          <w:sz w:val="24"/>
          <w:szCs w:val="32"/>
          <w:highlight w:val="none"/>
        </w:rPr>
        <w:t>.</w:t>
      </w:r>
      <w:r>
        <w:rPr>
          <w:rFonts w:ascii="Times New Roman" w:hAnsi="Times New Roman" w:eastAsia="黑体" w:cs="Times New Roman"/>
          <w:bCs/>
          <w:color w:val="auto"/>
          <w:sz w:val="24"/>
          <w:szCs w:val="32"/>
          <w:highlight w:val="none"/>
        </w:rPr>
        <w:t xml:space="preserve"> 需要补充的其他内容</w:t>
      </w:r>
      <w:bookmarkEnd w:id="126"/>
      <w:bookmarkEnd w:id="127"/>
      <w:bookmarkEnd w:id="12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需要补充的其他内容：_________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____________。</w:t>
      </w:r>
    </w:p>
    <w:p>
      <w:pPr>
        <w:widowControl/>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rPr>
          <w:rFonts w:ascii="Times New Roman" w:hAnsi="Times New Roman" w:eastAsia="宋体" w:cs="Times New Roman"/>
          <w:color w:val="auto"/>
          <w:highlight w:val="none"/>
        </w:rPr>
      </w:pPr>
    </w:p>
    <w:p>
      <w:pPr>
        <w:pStyle w:val="2"/>
        <w:numPr>
          <w:ilvl w:val="0"/>
          <w:numId w:val="0"/>
        </w:numPr>
        <w:spacing w:before="312" w:after="312"/>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bookmarkStart w:id="129" w:name="_Toc13164_WPSOffice_Level1"/>
      <w:r>
        <w:rPr>
          <w:rFonts w:hint="eastAsia" w:ascii="Times New Roman" w:hAnsi="Times New Roman" w:eastAsia="宋体" w:cs="Times New Roman"/>
          <w:color w:val="auto"/>
          <w:highlight w:val="none"/>
        </w:rPr>
        <w:t xml:space="preserve">第三章 </w:t>
      </w:r>
      <w:r>
        <w:rPr>
          <w:rFonts w:ascii="Times New Roman" w:hAnsi="Times New Roman" w:eastAsia="宋体" w:cs="Times New Roman"/>
          <w:color w:val="auto"/>
          <w:highlight w:val="none"/>
        </w:rPr>
        <w:t>评审办法</w:t>
      </w:r>
      <w:bookmarkEnd w:id="129"/>
    </w:p>
    <w:p>
      <w:pPr>
        <w:spacing w:after="312" w:afterLines="100" w:line="420" w:lineRule="exact"/>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评审办法前附表（</w:t>
      </w:r>
      <w:r>
        <w:rPr>
          <w:rFonts w:hint="eastAsia" w:ascii="Times New Roman" w:hAnsi="Times New Roman" w:eastAsia="黑体" w:cs="Times New Roman"/>
          <w:color w:val="auto"/>
          <w:sz w:val="28"/>
          <w:szCs w:val="28"/>
          <w:highlight w:val="none"/>
          <w:lang w:eastAsia="zh-CN"/>
        </w:rPr>
        <w:t>合格制</w:t>
      </w:r>
      <w:r>
        <w:rPr>
          <w:rFonts w:hint="eastAsia" w:ascii="Times New Roman" w:hAnsi="Times New Roman" w:eastAsia="黑体" w:cs="Times New Roman"/>
          <w:color w:val="auto"/>
          <w:sz w:val="28"/>
          <w:szCs w:val="28"/>
          <w:highlight w:val="none"/>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事业单位法人证书，如有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、资质证书</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default"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资质条件、能力、信誉、其他要求</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第1.2.2项</w:t>
            </w:r>
            <w:r>
              <w:rPr>
                <w:rFonts w:hint="default" w:ascii="Times New Roman" w:hAnsi="Times New Roman" w:cs="Times New Roman"/>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框架协议执行有效期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采购公告/采购邀请书</w:t>
            </w:r>
            <w:r>
              <w:rPr>
                <w:rFonts w:hint="default" w:ascii="Times New Roman" w:hAnsi="Times New Roman" w:cs="Times New Roman"/>
                <w:color w:val="auto"/>
                <w:highlight w:val="none"/>
              </w:rPr>
              <w:t>”</w:t>
            </w:r>
            <w:r>
              <w:rPr>
                <w:rFonts w:hint="default"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color w:val="auto"/>
                <w:kern w:val="0"/>
                <w:szCs w:val="21"/>
                <w:highlight w:val="none"/>
              </w:rPr>
              <w:t>报价</w:t>
            </w:r>
            <w:r>
              <w:rPr>
                <w:rFonts w:hint="eastAsia" w:ascii="Times New Roman" w:hAnsi="Times New Roman" w:cs="Times New Roman"/>
                <w:color w:val="auto"/>
                <w:kern w:val="0"/>
                <w:szCs w:val="21"/>
                <w:highlight w:val="none"/>
                <w:lang w:eastAsia="zh-CN"/>
              </w:rPr>
              <w:t>（不适用）</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___________</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adjustRightInd w:val="0"/>
        <w:snapToGrid w:val="0"/>
        <w:spacing w:line="360" w:lineRule="auto"/>
        <w:ind w:firstLine="420"/>
        <w:textAlignment w:val="baseline"/>
        <w:rPr>
          <w:rFonts w:ascii="Times New Roman" w:hAnsi="Times New Roman" w:cs="Times New Roman"/>
          <w:color w:val="auto"/>
          <w:szCs w:val="21"/>
          <w:highlight w:val="none"/>
        </w:rPr>
      </w:pPr>
    </w:p>
    <w:p>
      <w:pPr>
        <w:pStyle w:val="4"/>
        <w:rPr>
          <w:color w:val="auto"/>
          <w:highlight w:val="none"/>
        </w:rPr>
      </w:pPr>
    </w:p>
    <w:p>
      <w:pPr>
        <w:spacing w:after="312" w:afterLines="100" w:line="420" w:lineRule="exact"/>
        <w:jc w:val="center"/>
        <w:rPr>
          <w:rFonts w:hint="eastAsia" w:ascii="Times New Roman" w:hAnsi="Times New Roman" w:eastAsia="黑体" w:cs="Times New Roman"/>
          <w:color w:val="auto"/>
          <w:sz w:val="28"/>
          <w:szCs w:val="28"/>
          <w:highlight w:val="none"/>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26656998"/>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bookmarkEnd w:id="13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本次</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合格制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凡是符合本章第2条评审标准的供应商均</w:t>
      </w:r>
      <w:r>
        <w:rPr>
          <w:rFonts w:hint="default" w:ascii="Times New Roman" w:hAnsi="Times New Roman" w:cs="Times New Roman"/>
          <w:color w:val="auto"/>
          <w:highlight w:val="none"/>
          <w:lang w:eastAsia="zh-CN"/>
        </w:rPr>
        <w:t>入围</w:t>
      </w:r>
      <w:r>
        <w:rPr>
          <w:rFonts w:hint="default" w:ascii="Times New Roman" w:hAnsi="Times New Roman" w:cs="Times New Roman"/>
          <w:color w:val="auto"/>
          <w:highlight w:val="none"/>
          <w:lang w:val="en-US" w:eastAsia="zh-CN"/>
        </w:rPr>
        <w:t>候选人</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eastAsia="zh-CN"/>
        </w:rPr>
      </w:pPr>
      <w:bookmarkStart w:id="131" w:name="_Toc26656999"/>
      <w:r>
        <w:rPr>
          <w:rFonts w:hint="default" w:ascii="Times New Roman" w:hAnsi="Times New Roman" w:eastAsia="黑体" w:cs="Times New Roman"/>
          <w:bCs/>
          <w:color w:val="auto"/>
          <w:sz w:val="24"/>
          <w:szCs w:val="32"/>
          <w:highlight w:val="none"/>
        </w:rPr>
        <w:t>2. 评审标准</w:t>
      </w:r>
      <w:bookmarkEnd w:id="13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rPr>
        <w:t>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r>
        <w:rPr>
          <w:rFonts w:hint="default" w:ascii="Times New Roman" w:hAnsi="Times New Roman" w:cs="Times New Roman"/>
          <w:color w:val="auto"/>
          <w:highlight w:val="none"/>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2" w:name="_Toc26657002"/>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3" w:name="_Toc26657007"/>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2</w:t>
      </w:r>
      <w:r>
        <w:rPr>
          <w:rFonts w:hint="default" w:ascii="Times New Roman" w:hAnsi="Times New Roman" w:cs="Times New Roman" w:eastAsiaTheme="minorEastAsia"/>
          <w:bCs w:val="0"/>
          <w:color w:val="auto"/>
          <w:sz w:val="21"/>
          <w:szCs w:val="24"/>
          <w:highlight w:val="none"/>
        </w:rPr>
        <w:t xml:space="preserve"> 否决</w:t>
      </w:r>
      <w:r>
        <w:rPr>
          <w:rFonts w:hint="default" w:ascii="Times New Roman" w:hAnsi="Times New Roman" w:cs="Times New Roman" w:eastAsiaTheme="minorEastAsia"/>
          <w:bCs w:val="0"/>
          <w:color w:val="auto"/>
          <w:sz w:val="21"/>
          <w:szCs w:val="24"/>
          <w:highlight w:val="none"/>
          <w:lang w:val="en-US" w:eastAsia="zh-CN"/>
        </w:rPr>
        <w:t>响应文件</w:t>
      </w:r>
      <w:r>
        <w:rPr>
          <w:rFonts w:hint="default" w:ascii="Times New Roman" w:hAnsi="Times New Roman" w:cs="Times New Roman" w:eastAsiaTheme="minorEastAsia"/>
          <w:bCs w:val="0"/>
          <w:color w:val="auto"/>
          <w:sz w:val="21"/>
          <w:szCs w:val="24"/>
          <w:highlight w:val="none"/>
        </w:rPr>
        <w:t>的其他情形</w:t>
      </w:r>
      <w:bookmarkEnd w:id="13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4" w:name="_Toc26657008"/>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3</w:t>
      </w:r>
      <w:r>
        <w:rPr>
          <w:rFonts w:hint="default" w:ascii="Times New Roman" w:hAnsi="Times New Roman" w:cs="Times New Roman" w:eastAsiaTheme="minorEastAsia"/>
          <w:bCs w:val="0"/>
          <w:color w:val="auto"/>
          <w:sz w:val="21"/>
          <w:szCs w:val="24"/>
          <w:highlight w:val="none"/>
        </w:rPr>
        <w:t xml:space="preserve"> </w:t>
      </w:r>
      <w:r>
        <w:rPr>
          <w:rFonts w:hint="default" w:ascii="Times New Roman" w:hAnsi="Times New Roman" w:cs="Times New Roman" w:eastAsiaTheme="minorEastAsia"/>
          <w:bCs w:val="0"/>
          <w:color w:val="auto"/>
          <w:sz w:val="21"/>
          <w:szCs w:val="24"/>
          <w:highlight w:val="none"/>
          <w:lang w:eastAsia="zh-CN"/>
        </w:rPr>
        <w:t>响应文件</w:t>
      </w:r>
      <w:r>
        <w:rPr>
          <w:rFonts w:hint="default" w:ascii="Times New Roman" w:hAnsi="Times New Roman" w:cs="Times New Roman" w:eastAsiaTheme="minorEastAsia"/>
          <w:bCs w:val="0"/>
          <w:color w:val="auto"/>
          <w:sz w:val="21"/>
          <w:szCs w:val="24"/>
          <w:highlight w:val="none"/>
        </w:rPr>
        <w:t>的澄清</w:t>
      </w:r>
      <w:bookmarkEnd w:id="13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default"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strike/>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5" w:name="_Toc26657010"/>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4</w:t>
      </w:r>
      <w:r>
        <w:rPr>
          <w:rFonts w:hint="default" w:ascii="Times New Roman" w:hAnsi="Times New Roman" w:cs="Times New Roman" w:eastAsiaTheme="minorEastAsia"/>
          <w:bCs w:val="0"/>
          <w:color w:val="auto"/>
          <w:sz w:val="21"/>
          <w:szCs w:val="24"/>
          <w:highlight w:val="none"/>
        </w:rPr>
        <w:t xml:space="preserve"> 评</w:t>
      </w:r>
      <w:r>
        <w:rPr>
          <w:rFonts w:hint="default" w:ascii="Times New Roman" w:hAnsi="Times New Roman" w:cs="Times New Roman" w:eastAsiaTheme="minorEastAsia"/>
          <w:bCs w:val="0"/>
          <w:color w:val="auto"/>
          <w:sz w:val="21"/>
          <w:szCs w:val="24"/>
          <w:highlight w:val="none"/>
          <w:lang w:val="en-US" w:eastAsia="zh-CN"/>
        </w:rPr>
        <w:t>审</w:t>
      </w:r>
      <w:r>
        <w:rPr>
          <w:rFonts w:hint="default" w:ascii="Times New Roman" w:hAnsi="Times New Roman" w:cs="Times New Roman" w:eastAsiaTheme="minorEastAsia"/>
          <w:bCs w:val="0"/>
          <w:color w:val="auto"/>
          <w:sz w:val="21"/>
          <w:szCs w:val="24"/>
          <w:highlight w:val="none"/>
        </w:rPr>
        <w:t>结果</w:t>
      </w:r>
      <w:bookmarkEnd w:id="135"/>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评审小组完成评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后，应当向采购人提交评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报告应当如实记载以下内容：</w:t>
      </w:r>
    </w:p>
    <w:p>
      <w:pPr>
        <w:spacing w:line="440" w:lineRule="exact"/>
        <w:ind w:firstLine="420"/>
        <w:rPr>
          <w:rFonts w:hint="default" w:ascii="Times New Roman" w:hAnsi="Times New Roman" w:cs="Times New Roman"/>
          <w:color w:val="auto"/>
          <w:highlight w:val="none"/>
          <w:lang w:eastAsia="zh-CN"/>
        </w:rPr>
      </w:pPr>
      <w:bookmarkStart w:id="136" w:name="_Toc7383_WPSOffice_Level2"/>
      <w:bookmarkStart w:id="137" w:name="_Toc16393_WPSOffice_Level2"/>
      <w:bookmarkStart w:id="138" w:name="_Toc4777_WPSOffice_Level2"/>
      <w:r>
        <w:rPr>
          <w:rFonts w:hint="default" w:ascii="Times New Roman" w:hAnsi="Times New Roman" w:cs="Times New Roman"/>
          <w:color w:val="auto"/>
          <w:highlight w:val="none"/>
          <w:lang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eastAsia="zh-CN"/>
        </w:rPr>
      </w:pPr>
      <w:bookmarkStart w:id="139" w:name="_Toc24663_WPSOffice_Level2"/>
      <w:bookmarkStart w:id="140" w:name="_Toc15198_WPSOffice_Level2"/>
      <w:bookmarkStart w:id="141" w:name="_Toc30945_WPSOffice_Level2"/>
      <w:r>
        <w:rPr>
          <w:rFonts w:hint="default" w:ascii="Times New Roman" w:hAnsi="Times New Roman" w:cs="Times New Roman"/>
          <w:color w:val="auto"/>
          <w:highlight w:val="none"/>
          <w:lang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eastAsia="zh-CN"/>
        </w:rPr>
      </w:pPr>
      <w:bookmarkStart w:id="142" w:name="_Toc7598_WPSOffice_Level2"/>
      <w:bookmarkStart w:id="143" w:name="_Toc17445_WPSOffice_Level2"/>
      <w:bookmarkStart w:id="144" w:name="_Toc22556_WPSOffice_Level2"/>
      <w:r>
        <w:rPr>
          <w:rFonts w:hint="default" w:ascii="Times New Roman" w:hAnsi="Times New Roman" w:cs="Times New Roman"/>
          <w:color w:val="auto"/>
          <w:highlight w:val="none"/>
          <w:lang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eastAsia="zh-CN"/>
        </w:rPr>
      </w:pPr>
      <w:bookmarkStart w:id="145" w:name="_Toc23161_WPSOffice_Level2"/>
      <w:bookmarkStart w:id="146" w:name="_Toc27730_WPSOffice_Level2"/>
      <w:bookmarkStart w:id="147" w:name="_Toc13159_WPSOffice_Level2"/>
      <w:r>
        <w:rPr>
          <w:rFonts w:hint="default" w:ascii="Times New Roman" w:hAnsi="Times New Roman" w:cs="Times New Roman"/>
          <w:color w:val="auto"/>
          <w:highlight w:val="none"/>
          <w:lang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1、评审办法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2、评审情况（资格审查、形式性审查、响应性审查）</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3、否决的供应商名单以及否决理由（如有）</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、推荐</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lang w:eastAsia="zh-CN"/>
        </w:rPr>
        <w:t>候选供应商</w:t>
      </w:r>
    </w:p>
    <w:p>
      <w:pPr>
        <w:spacing w:line="440" w:lineRule="exact"/>
        <w:ind w:firstLine="420"/>
        <w:rPr>
          <w:rFonts w:hint="default" w:ascii="Times New Roman" w:hAnsi="Times New Roman" w:cs="Times New Roman"/>
          <w:color w:val="auto"/>
          <w:highlight w:val="none"/>
          <w:lang w:eastAsia="zh-CN"/>
        </w:rPr>
      </w:pPr>
      <w:bookmarkStart w:id="148" w:name="_Toc25805_WPSOffice_Level2"/>
      <w:bookmarkStart w:id="149" w:name="_Toc5873_WPSOffice_Level2"/>
      <w:bookmarkStart w:id="150" w:name="_Toc9044_WPSOffice_Level2"/>
      <w:r>
        <w:rPr>
          <w:rFonts w:hint="default" w:ascii="Times New Roman" w:hAnsi="Times New Roman" w:cs="Times New Roman"/>
          <w:color w:val="auto"/>
          <w:highlight w:val="none"/>
          <w:lang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eastAsia="zh-CN"/>
        </w:rPr>
      </w:pPr>
      <w:bookmarkStart w:id="151" w:name="_Toc12495_WPSOffice_Level2"/>
      <w:bookmarkStart w:id="152" w:name="_Toc16196_WPSOffice_Level2"/>
      <w:bookmarkStart w:id="153" w:name="_Toc27568_WPSOffice_Level2"/>
      <w:r>
        <w:rPr>
          <w:rFonts w:hint="default" w:ascii="Times New Roman" w:hAnsi="Times New Roman" w:cs="Times New Roman"/>
          <w:color w:val="auto"/>
          <w:highlight w:val="none"/>
          <w:lang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1、响应文件开启记录表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2、评审表格</w:t>
      </w:r>
    </w:p>
    <w:p>
      <w:pPr>
        <w:rPr>
          <w:rFonts w:ascii="Times New Roman" w:hAnsi="Times New Roman" w:cs="Times New Roman"/>
          <w:color w:val="auto"/>
          <w:szCs w:val="21"/>
          <w:highlight w:val="none"/>
        </w:rPr>
      </w:pPr>
    </w:p>
    <w:p>
      <w:pPr>
        <w:pStyle w:val="4"/>
        <w:rPr>
          <w:rFonts w:ascii="Times New Roman" w:hAnsi="Times New Roman" w:cs="Times New Roman"/>
          <w:color w:val="auto"/>
          <w:szCs w:val="21"/>
          <w:highlight w:val="none"/>
        </w:rPr>
      </w:pPr>
    </w:p>
    <w:p>
      <w:pPr>
        <w:pStyle w:val="8"/>
        <w:rPr>
          <w:rFonts w:ascii="Times New Roman" w:hAnsi="Times New Roman" w:cs="Times New Roman"/>
          <w:color w:val="auto"/>
          <w:highlight w:val="none"/>
        </w:rPr>
      </w:pPr>
    </w:p>
    <w:p>
      <w:pPr>
        <w:widowControl/>
        <w:jc w:val="left"/>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pStyle w:val="2"/>
        <w:numPr>
          <w:ilvl w:val="0"/>
          <w:numId w:val="0"/>
        </w:numPr>
        <w:spacing w:before="312" w:after="312"/>
        <w:rPr>
          <w:rFonts w:hint="eastAsia" w:ascii="Times New Roman" w:hAnsi="Times New Roman" w:eastAsia="宋体" w:cs="Times New Roman"/>
          <w:color w:val="auto"/>
          <w:highlight w:val="none"/>
        </w:rPr>
      </w:pPr>
      <w:bookmarkStart w:id="154" w:name="_Toc23189_WPSOffice_Level1"/>
    </w:p>
    <w:p>
      <w:pPr>
        <w:pStyle w:val="2"/>
        <w:numPr>
          <w:ilvl w:val="0"/>
          <w:numId w:val="0"/>
        </w:numPr>
        <w:spacing w:before="312" w:after="312"/>
        <w:rPr>
          <w:rFonts w:hint="eastAsia" w:ascii="Times New Roman" w:hAnsi="Times New Roman" w:eastAsia="宋体" w:cs="Times New Roman"/>
          <w:color w:val="auto"/>
          <w:highlight w:val="none"/>
        </w:rPr>
      </w:pPr>
    </w:p>
    <w:p>
      <w:pPr>
        <w:pStyle w:val="2"/>
        <w:numPr>
          <w:ilvl w:val="0"/>
          <w:numId w:val="0"/>
        </w:numPr>
        <w:spacing w:before="312" w:after="312"/>
        <w:rPr>
          <w:rFonts w:hint="eastAsia" w:ascii="Times New Roman" w:hAnsi="Times New Roman" w:eastAsia="宋体" w:cs="Times New Roman"/>
          <w:color w:val="auto"/>
          <w:highlight w:val="none"/>
        </w:rPr>
      </w:pPr>
    </w:p>
    <w:p>
      <w:pPr>
        <w:pStyle w:val="2"/>
        <w:numPr>
          <w:ilvl w:val="0"/>
          <w:numId w:val="0"/>
        </w:numPr>
        <w:spacing w:before="312" w:after="312"/>
        <w:rPr>
          <w:rFonts w:hint="eastAsia" w:ascii="Times New Roman" w:hAnsi="Times New Roman" w:eastAsia="宋体" w:cs="Times New Roman"/>
          <w:color w:val="auto"/>
          <w:highlight w:val="none"/>
        </w:rPr>
      </w:pPr>
    </w:p>
    <w:p>
      <w:pPr>
        <w:pStyle w:val="2"/>
        <w:numPr>
          <w:ilvl w:val="0"/>
          <w:numId w:val="0"/>
        </w:numPr>
        <w:spacing w:before="312" w:after="312"/>
        <w:rPr>
          <w:rFonts w:hint="eastAsia" w:ascii="Times New Roman" w:hAnsi="Times New Roman" w:eastAsia="宋体" w:cs="Times New Roman"/>
          <w:color w:val="auto"/>
          <w:highlight w:val="none"/>
        </w:rPr>
      </w:pPr>
    </w:p>
    <w:p>
      <w:pPr>
        <w:pStyle w:val="2"/>
        <w:numPr>
          <w:ilvl w:val="0"/>
          <w:numId w:val="0"/>
        </w:numPr>
        <w:spacing w:before="312" w:after="312"/>
        <w:rPr>
          <w:rFonts w:hint="eastAsia" w:ascii="Times New Roman" w:hAnsi="Times New Roman" w:eastAsia="宋体" w:cs="Times New Roman"/>
          <w:color w:val="auto"/>
          <w:highlight w:val="none"/>
        </w:rPr>
      </w:pPr>
    </w:p>
    <w:p>
      <w:pPr>
        <w:pStyle w:val="2"/>
        <w:numPr>
          <w:ilvl w:val="0"/>
          <w:numId w:val="0"/>
        </w:numPr>
        <w:spacing w:before="312" w:after="31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4"/>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numPr>
          <w:ilvl w:val="0"/>
          <w:numId w:val="0"/>
        </w:numPr>
        <w:spacing w:before="312" w:after="312"/>
        <w:jc w:val="both"/>
        <w:rPr>
          <w:rFonts w:hint="eastAsia" w:ascii="Times New Roman" w:hAnsi="Times New Roman" w:eastAsia="宋体" w:cs="Times New Roman"/>
          <w:color w:val="auto"/>
          <w:highlight w:val="none"/>
        </w:rPr>
      </w:pPr>
    </w:p>
    <w:p>
      <w:pPr>
        <w:pStyle w:val="2"/>
        <w:numPr>
          <w:ilvl w:val="0"/>
          <w:numId w:val="0"/>
        </w:numPr>
        <w:spacing w:before="312" w:after="312"/>
        <w:jc w:val="center"/>
        <w:rPr>
          <w:rFonts w:hint="eastAsia" w:ascii="Times New Roman" w:hAnsi="Times New Roman" w:eastAsia="宋体" w:cs="Times New Roman"/>
          <w:color w:val="auto"/>
          <w:highlight w:val="none"/>
        </w:rPr>
      </w:pPr>
    </w:p>
    <w:p>
      <w:pPr>
        <w:pStyle w:val="2"/>
        <w:numPr>
          <w:ilvl w:val="0"/>
          <w:numId w:val="0"/>
        </w:numPr>
        <w:spacing w:before="312" w:after="312"/>
        <w:jc w:val="center"/>
        <w:rPr>
          <w:rFonts w:hint="eastAsia" w:ascii="Times New Roman" w:hAnsi="Times New Roman" w:eastAsia="宋体" w:cs="Times New Roman"/>
          <w:color w:val="auto"/>
          <w:highlight w:val="none"/>
          <w:lang w:eastAsia="zh-CN"/>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Times New Roman" w:hAnsi="Times New Roman" w:eastAsia="宋体" w:cs="Times New Roman"/>
          <w:color w:val="auto"/>
          <w:highlight w:val="none"/>
        </w:rPr>
        <w:t xml:space="preserve">第四章 </w:t>
      </w:r>
      <w:bookmarkEnd w:id="154"/>
      <w:r>
        <w:rPr>
          <w:rFonts w:hint="eastAsia" w:ascii="Times New Roman" w:hAnsi="Times New Roman" w:eastAsia="宋体" w:cs="Times New Roman"/>
          <w:color w:val="auto"/>
          <w:highlight w:val="none"/>
          <w:lang w:eastAsia="zh-CN"/>
        </w:rPr>
        <w:t>入围通知</w:t>
      </w:r>
    </w:p>
    <w:p>
      <w:pPr>
        <w:ind w:firstLine="0" w:firstLineChars="0"/>
        <w:jc w:val="center"/>
        <w:rPr>
          <w:rFonts w:eastAsia="方正仿宋_GB2312"/>
          <w:color w:val="auto"/>
          <w:sz w:val="30"/>
          <w:szCs w:val="30"/>
          <w:highlight w:val="none"/>
        </w:rPr>
      </w:pPr>
      <w:r>
        <w:rPr>
          <w:rFonts w:hint="eastAsia" w:hAnsi="宋体"/>
          <w:b/>
          <w:color w:val="auto"/>
          <w:sz w:val="44"/>
          <w:szCs w:val="44"/>
          <w:highlight w:val="none"/>
        </w:rPr>
        <w:t>入围通知书</w:t>
      </w:r>
    </w:p>
    <w:p>
      <w:pPr>
        <w:spacing w:line="580" w:lineRule="exact"/>
        <w:ind w:left="596" w:leftChars="284" w:firstLine="21" w:firstLineChars="7"/>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 xml:space="preserve">xxx公司: </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你方于   年  月  日所递交的驿达公司餐饮原辅材料采购供应商入库项目（</w:t>
      </w:r>
      <w:r>
        <w:rPr>
          <w:rFonts w:hint="eastAsia" w:eastAsia="方正仿宋_GB2312"/>
          <w:color w:val="auto"/>
          <w:sz w:val="30"/>
          <w:szCs w:val="30"/>
          <w:highlight w:val="none"/>
          <w:lang w:val="en-US" w:eastAsia="zh-CN"/>
        </w:rPr>
        <w:t>2024年</w:t>
      </w:r>
      <w:r>
        <w:rPr>
          <w:rFonts w:hint="eastAsia" w:eastAsia="方正仿宋_GB2312"/>
          <w:color w:val="auto"/>
          <w:sz w:val="30"/>
          <w:szCs w:val="30"/>
          <w:highlight w:val="none"/>
        </w:rPr>
        <w:t>第一次公开询比）（招标编号：YDCYYCL-0</w:t>
      </w: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rPr>
        <w:t>）投标文件已被我方接受，经评审小组评审，确定贵公司为入围单位，入围有效期年  月  日至  年  月  日。</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入围单位具备参与驿达公司餐饮原辅材料供应商库内比选项目的资格。入围期间发生以下情形取消库内比选资格，且3年内内无法参与我公司类似项目的招标。</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1、被责令停业，暂扣或吊销执照，或吊销资质证书。</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2、进入清算程序，或被宣告破产，或其他丧失履约能力的情形。</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3、在国家企业信用信息公示系统（http://www.gsxt.gov.cn）中被列入严重违法失信企业名单的；</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4、在“信用中国”网站（http://www.creditchina.gov.cn）中被列入失信被执行人名单。</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5、供应商或其法定代表人、项目负责人（如有）有行贿犯罪行为。</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6、与安徽交控集团所辖子公司、分公司、路段管理中心合作未有不良记录（不良记录包括但不限于考评不合格）。</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7、</w:t>
      </w:r>
      <w:r>
        <w:rPr>
          <w:rFonts w:hint="eastAsia" w:eastAsia="方正仿宋_GB2312"/>
          <w:color w:val="auto"/>
          <w:sz w:val="30"/>
          <w:szCs w:val="30"/>
          <w:highlight w:val="none"/>
          <w:lang w:eastAsia="zh-CN"/>
        </w:rPr>
        <w:t>中标后放弃合作的</w:t>
      </w:r>
      <w:r>
        <w:rPr>
          <w:rFonts w:hint="eastAsia" w:eastAsia="方正仿宋_GB2312"/>
          <w:color w:val="auto"/>
          <w:sz w:val="30"/>
          <w:szCs w:val="30"/>
          <w:highlight w:val="none"/>
        </w:rPr>
        <w:t>。</w:t>
      </w:r>
    </w:p>
    <w:p>
      <w:pPr>
        <w:spacing w:line="580" w:lineRule="exact"/>
        <w:jc w:val="right"/>
        <w:rPr>
          <w:rFonts w:eastAsia="方正仿宋_GB2312"/>
          <w:color w:val="auto"/>
          <w:sz w:val="30"/>
          <w:szCs w:val="30"/>
          <w:highlight w:val="none"/>
        </w:rPr>
      </w:pPr>
      <w:r>
        <w:rPr>
          <w:rFonts w:hint="eastAsia" w:eastAsia="方正仿宋_GB2312"/>
          <w:color w:val="auto"/>
          <w:sz w:val="30"/>
          <w:szCs w:val="30"/>
          <w:highlight w:val="none"/>
        </w:rPr>
        <w:t>安徽</w:t>
      </w:r>
      <w:r>
        <w:rPr>
          <w:rFonts w:hint="eastAsia" w:eastAsia="方正仿宋_GB2312"/>
          <w:color w:val="auto"/>
          <w:sz w:val="30"/>
          <w:szCs w:val="30"/>
          <w:highlight w:val="none"/>
          <w:lang w:eastAsia="zh-CN"/>
        </w:rPr>
        <w:t>驿达</w:t>
      </w:r>
      <w:r>
        <w:rPr>
          <w:rFonts w:hint="eastAsia" w:eastAsia="方正仿宋_GB2312"/>
          <w:color w:val="auto"/>
          <w:sz w:val="30"/>
          <w:szCs w:val="30"/>
          <w:highlight w:val="none"/>
        </w:rPr>
        <w:t>高速公路服务区经营管理有限公司</w:t>
      </w:r>
    </w:p>
    <w:p>
      <w:pPr>
        <w:spacing w:line="580" w:lineRule="exact"/>
        <w:jc w:val="right"/>
        <w:rPr>
          <w:rFonts w:eastAsia="方正仿宋_GB2312"/>
          <w:color w:val="auto"/>
          <w:sz w:val="30"/>
          <w:szCs w:val="30"/>
          <w:highlight w:val="none"/>
        </w:rPr>
      </w:pP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年</w:t>
      </w: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月</w:t>
      </w: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日</w:t>
      </w:r>
    </w:p>
    <w:p>
      <w:pPr>
        <w:jc w:val="right"/>
        <w:rPr>
          <w:rFonts w:ascii="宋体" w:hAnsi="宋体"/>
          <w:color w:val="auto"/>
          <w:sz w:val="20"/>
          <w:szCs w:val="30"/>
          <w:highlight w:val="none"/>
        </w:rPr>
      </w:pPr>
    </w:p>
    <w:p>
      <w:pPr>
        <w:pStyle w:val="4"/>
        <w:rPr>
          <w:color w:val="auto"/>
          <w:highlight w:val="none"/>
        </w:rPr>
      </w:pPr>
    </w:p>
    <w:p>
      <w:pPr>
        <w:pStyle w:val="2"/>
        <w:numPr>
          <w:ilvl w:val="0"/>
          <w:numId w:val="4"/>
        </w:numPr>
        <w:spacing w:before="312" w:after="312"/>
        <w:ind w:left="402" w:firstLine="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采购需求</w:t>
      </w:r>
    </w:p>
    <w:p>
      <w:pPr>
        <w:numPr>
          <w:ilvl w:val="255"/>
          <w:numId w:val="0"/>
        </w:numPr>
        <w:rPr>
          <w:color w:val="auto"/>
          <w:highlight w:val="none"/>
        </w:rPr>
      </w:pPr>
      <w:r>
        <w:rPr>
          <w:rFonts w:hint="eastAsia"/>
          <w:color w:val="auto"/>
          <w:highlight w:val="none"/>
        </w:rPr>
        <w:t>详见采购公告</w:t>
      </w:r>
    </w:p>
    <w:p>
      <w:pPr>
        <w:pStyle w:val="4"/>
        <w:rPr>
          <w:color w:val="auto"/>
          <w:highlight w:val="none"/>
        </w:rPr>
      </w:pP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pStyle w:val="2"/>
        <w:numPr>
          <w:ilvl w:val="0"/>
          <w:numId w:val="0"/>
        </w:numPr>
        <w:spacing w:before="312" w:after="312"/>
        <w:ind w:left="402"/>
        <w:rPr>
          <w:rFonts w:ascii="Times New Roman" w:hAnsi="Times New Roman" w:eastAsia="宋体" w:cs="Times New Roman"/>
          <w:color w:val="auto"/>
          <w:highlight w:val="none"/>
        </w:rPr>
      </w:pPr>
      <w:bookmarkStart w:id="155" w:name="_Toc15302_WPSOffice_Level1"/>
      <w:r>
        <w:rPr>
          <w:rFonts w:hint="eastAsia" w:ascii="Times New Roman" w:hAnsi="Times New Roman" w:eastAsia="宋体" w:cs="Times New Roman"/>
          <w:color w:val="auto"/>
          <w:highlight w:val="none"/>
        </w:rPr>
        <w:t xml:space="preserve">第六章 </w:t>
      </w:r>
      <w:r>
        <w:rPr>
          <w:rFonts w:ascii="Times New Roman" w:hAnsi="Times New Roman" w:eastAsia="宋体" w:cs="Times New Roman"/>
          <w:color w:val="auto"/>
          <w:highlight w:val="none"/>
        </w:rPr>
        <w:t>响应文件格式</w:t>
      </w:r>
      <w:bookmarkEnd w:id="155"/>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Cs w:val="21"/>
          <w:highlight w:val="none"/>
        </w:rPr>
        <w:t xml:space="preserve">           ______________________________</w:t>
      </w:r>
      <w:r>
        <w:rPr>
          <w:rFonts w:ascii="Times New Roman" w:hAnsi="Times New Roman" w:eastAsia="黑体" w:cs="Times New Roman"/>
          <w:color w:val="auto"/>
          <w:sz w:val="28"/>
          <w:szCs w:val="28"/>
          <w:highlight w:val="none"/>
        </w:rPr>
        <w:t>(项目名称)</w:t>
      </w:r>
      <w:r>
        <w:rPr>
          <w:rFonts w:ascii="Times New Roman" w:hAnsi="Times New Roman"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合同包询比</w:t>
      </w:r>
    </w:p>
    <w:p>
      <w:pPr>
        <w:spacing w:line="440" w:lineRule="exact"/>
        <w:rPr>
          <w:rFonts w:ascii="Times New Roman" w:hAnsi="Times New Roman" w:eastAsia="黑体" w:cs="Times New Roman"/>
          <w:color w:val="auto"/>
          <w:sz w:val="20"/>
          <w:szCs w:val="20"/>
          <w:highlight w:val="none"/>
        </w:rPr>
      </w:pPr>
      <w:r>
        <w:rPr>
          <w:rFonts w:ascii="Times New Roman" w:hAnsi="Times New Roman" w:eastAsia="黑体" w:cs="Times New Roman"/>
          <w:color w:val="auto"/>
          <w:sz w:val="20"/>
          <w:szCs w:val="20"/>
          <w:highlight w:val="none"/>
        </w:rPr>
        <w:t xml:space="preserve"> </w:t>
      </w:r>
    </w:p>
    <w:p>
      <w:pPr>
        <w:spacing w:line="440" w:lineRule="exact"/>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jc w:val="center"/>
        <w:rPr>
          <w:rFonts w:ascii="Times New Roman" w:hAnsi="Times New Roman" w:eastAsia="黑体" w:cs="Times New Roman"/>
          <w:color w:val="auto"/>
          <w:sz w:val="50"/>
          <w:szCs w:val="50"/>
          <w:highlight w:val="none"/>
        </w:rPr>
      </w:pPr>
      <w:bookmarkStart w:id="156" w:name="_Toc10484_WPSOffice_Level1"/>
      <w:bookmarkStart w:id="157" w:name="_Toc32044_WPSOffice_Level1"/>
      <w:bookmarkStart w:id="158" w:name="_Toc17394_WPSOffice_Level1"/>
      <w:bookmarkStart w:id="159" w:name="_Toc1914_WPSOffice_Level1"/>
      <w:bookmarkStart w:id="160" w:name="_Toc27994_WPSOffice_Level1"/>
      <w:bookmarkStart w:id="161" w:name="_Toc741_WPSOffice_Level1"/>
      <w:r>
        <w:rPr>
          <w:rFonts w:ascii="Times New Roman" w:hAnsi="Times New Roman" w:eastAsia="黑体" w:cs="Times New Roman"/>
          <w:color w:val="auto"/>
          <w:sz w:val="50"/>
          <w:szCs w:val="50"/>
          <w:highlight w:val="none"/>
        </w:rPr>
        <w:t>响  应  文  件</w:t>
      </w:r>
      <w:bookmarkEnd w:id="156"/>
      <w:bookmarkEnd w:id="157"/>
      <w:bookmarkEnd w:id="158"/>
      <w:bookmarkEnd w:id="159"/>
      <w:bookmarkEnd w:id="160"/>
      <w:bookmarkEnd w:id="161"/>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162" w:name="_Toc5520_WPSOffice_Level2"/>
      <w:bookmarkStart w:id="163"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(全称、盖单位章)</w:t>
      </w:r>
      <w:bookmarkEnd w:id="162"/>
      <w:bookmarkEnd w:id="163"/>
      <w:r>
        <w:rPr>
          <w:rFonts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164" w:name="_Toc20076_WPSOffice_Level2"/>
      <w:bookmarkStart w:id="165"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164"/>
      <w:bookmarkEnd w:id="165"/>
    </w:p>
    <w:p>
      <w:pPr>
        <w:spacing w:line="440" w:lineRule="exact"/>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66" w:name="_Toc22351_WPSOffice_Level2"/>
      <w:bookmarkStart w:id="167" w:name="_Toc21974_WPSOffice_Level2"/>
      <w:r>
        <w:rPr>
          <w:rFonts w:ascii="Times New Roman" w:hAnsi="Times New Roman" w:eastAsia="黑体" w:cs="Times New Roman"/>
          <w:color w:val="auto"/>
          <w:sz w:val="28"/>
          <w:szCs w:val="28"/>
          <w:highlight w:val="none"/>
        </w:rPr>
        <w:t>目     录</w:t>
      </w:r>
      <w:bookmarkEnd w:id="166"/>
      <w:bookmarkEnd w:id="167"/>
    </w:p>
    <w:p>
      <w:pPr>
        <w:spacing w:line="440" w:lineRule="exact"/>
        <w:rPr>
          <w:rFonts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68" w:name="_Toc11424_WPSOffice_Level1"/>
      <w:bookmarkStart w:id="169" w:name="_Toc23368_WPSOffice_Level1"/>
      <w:bookmarkStart w:id="170" w:name="_Toc30529_WPSOffice_Level1"/>
      <w:bookmarkStart w:id="171" w:name="_Toc6353_WPSOffice_Level1"/>
      <w:bookmarkStart w:id="172" w:name="_Toc12670_WPSOffice_Level1"/>
      <w:r>
        <w:rPr>
          <w:rFonts w:ascii="Times New Roman" w:hAnsi="Times New Roman" w:eastAsia="黑体" w:cs="Times New Roman"/>
          <w:color w:val="auto"/>
          <w:sz w:val="24"/>
          <w:highlight w:val="none"/>
        </w:rPr>
        <w:t>一、</w:t>
      </w:r>
      <w:bookmarkEnd w:id="168"/>
      <w:bookmarkEnd w:id="169"/>
      <w:bookmarkEnd w:id="170"/>
      <w:bookmarkEnd w:id="171"/>
      <w:r>
        <w:rPr>
          <w:rFonts w:hint="eastAsia" w:ascii="Times New Roman" w:hAnsi="Times New Roman" w:eastAsia="黑体" w:cs="Times New Roman"/>
          <w:color w:val="auto"/>
          <w:sz w:val="24"/>
          <w:highlight w:val="none"/>
        </w:rPr>
        <w:t>投标函</w:t>
      </w:r>
    </w:p>
    <w:p>
      <w:pPr>
        <w:spacing w:line="440" w:lineRule="exact"/>
        <w:ind w:left="1619" w:leftChars="771"/>
        <w:rPr>
          <w:rFonts w:ascii="Times New Roman" w:hAnsi="Times New Roman" w:eastAsia="黑体" w:cs="Times New Roman"/>
          <w:color w:val="auto"/>
          <w:sz w:val="24"/>
          <w:highlight w:val="none"/>
        </w:rPr>
      </w:pPr>
      <w:bookmarkStart w:id="173" w:name="_Toc21229_WPSOffice_Level1"/>
      <w:bookmarkStart w:id="174" w:name="_Toc32729_WPSOffice_Level1"/>
      <w:bookmarkStart w:id="175" w:name="_Toc5317_WPSOffice_Level1"/>
      <w:bookmarkStart w:id="176" w:name="_Toc31927_WPSOffice_Level1"/>
      <w:r>
        <w:rPr>
          <w:rFonts w:ascii="Times New Roman" w:hAnsi="Times New Roman" w:eastAsia="黑体" w:cs="Times New Roman"/>
          <w:color w:val="auto"/>
          <w:sz w:val="24"/>
          <w:highlight w:val="none"/>
        </w:rPr>
        <w:t>二、法定代表人身份证明及授权委托书</w:t>
      </w:r>
      <w:bookmarkEnd w:id="173"/>
      <w:bookmarkEnd w:id="174"/>
      <w:bookmarkEnd w:id="175"/>
      <w:bookmarkEnd w:id="176"/>
    </w:p>
    <w:p>
      <w:pPr>
        <w:spacing w:line="440" w:lineRule="exact"/>
        <w:ind w:left="1619" w:leftChars="771"/>
        <w:rPr>
          <w:rFonts w:ascii="Times New Roman" w:hAnsi="Times New Roman" w:eastAsia="黑体" w:cs="Times New Roman"/>
          <w:color w:val="auto"/>
          <w:sz w:val="24"/>
          <w:highlight w:val="none"/>
        </w:rPr>
      </w:pPr>
      <w:bookmarkStart w:id="177" w:name="_Toc18964_WPSOffice_Level1"/>
      <w:bookmarkStart w:id="178" w:name="_Toc23744_WPSOffice_Level1"/>
      <w:bookmarkStart w:id="179" w:name="_Toc7453_WPSOffice_Level1"/>
      <w:bookmarkStart w:id="180" w:name="_Toc10608_WPSOffice_Level1"/>
      <w:r>
        <w:rPr>
          <w:rFonts w:hint="eastAsia" w:ascii="Times New Roman" w:hAnsi="Times New Roman" w:eastAsia="黑体" w:cs="Times New Roman"/>
          <w:color w:val="auto"/>
          <w:sz w:val="24"/>
          <w:highlight w:val="none"/>
          <w:lang w:eastAsia="zh-CN"/>
        </w:rPr>
        <w:t>三</w:t>
      </w:r>
      <w:r>
        <w:rPr>
          <w:rFonts w:ascii="Times New Roman" w:hAnsi="Times New Roman" w:eastAsia="黑体" w:cs="Times New Roman"/>
          <w:color w:val="auto"/>
          <w:sz w:val="24"/>
          <w:highlight w:val="none"/>
        </w:rPr>
        <w:t>、</w:t>
      </w:r>
      <w:bookmarkEnd w:id="177"/>
      <w:bookmarkEnd w:id="178"/>
      <w:bookmarkEnd w:id="179"/>
      <w:bookmarkEnd w:id="180"/>
      <w:r>
        <w:rPr>
          <w:rFonts w:ascii="Times New Roman" w:hAnsi="Times New Roman" w:eastAsia="黑体" w:cs="Times New Roman"/>
          <w:color w:val="auto"/>
          <w:sz w:val="24"/>
          <w:highlight w:val="none"/>
        </w:rPr>
        <w:t>供应商基本情况</w:t>
      </w:r>
    </w:p>
    <w:p>
      <w:pPr>
        <w:spacing w:line="440" w:lineRule="exact"/>
        <w:ind w:left="1619" w:leftChars="771"/>
        <w:rPr>
          <w:rFonts w:ascii="Times New Roman" w:hAnsi="Times New Roman" w:eastAsia="黑体" w:cs="Times New Roman"/>
          <w:color w:val="auto"/>
          <w:sz w:val="24"/>
          <w:highlight w:val="none"/>
        </w:rPr>
      </w:pPr>
      <w:bookmarkStart w:id="181" w:name="_Toc9006_WPSOffice_Level1"/>
      <w:bookmarkStart w:id="182" w:name="_Toc19601_WPSOffice_Level1"/>
      <w:bookmarkStart w:id="183" w:name="_Toc1578_WPSOffice_Level1"/>
      <w:bookmarkStart w:id="184" w:name="_Toc23751_WPSOffice_Level1"/>
      <w:r>
        <w:rPr>
          <w:rFonts w:hint="eastAsia" w:ascii="Times New Roman" w:hAnsi="Times New Roman" w:eastAsia="黑体" w:cs="Times New Roman"/>
          <w:color w:val="auto"/>
          <w:sz w:val="24"/>
          <w:highlight w:val="none"/>
          <w:lang w:eastAsia="zh-CN"/>
        </w:rPr>
        <w:t>四</w:t>
      </w:r>
      <w:r>
        <w:rPr>
          <w:rFonts w:ascii="Times New Roman" w:hAnsi="Times New Roman" w:eastAsia="黑体" w:cs="Times New Roman"/>
          <w:color w:val="auto"/>
          <w:sz w:val="24"/>
          <w:highlight w:val="none"/>
        </w:rPr>
        <w:t>、</w:t>
      </w:r>
      <w:bookmarkEnd w:id="181"/>
      <w:bookmarkEnd w:id="182"/>
      <w:bookmarkEnd w:id="183"/>
      <w:bookmarkEnd w:id="184"/>
      <w:r>
        <w:rPr>
          <w:rFonts w:ascii="Times New Roman" w:hAnsi="Times New Roman" w:eastAsia="黑体" w:cs="Times New Roman"/>
          <w:color w:val="auto"/>
          <w:sz w:val="24"/>
          <w:highlight w:val="none"/>
        </w:rPr>
        <w:t>近年类似业绩情况</w:t>
      </w:r>
    </w:p>
    <w:p>
      <w:pPr>
        <w:spacing w:line="440" w:lineRule="exact"/>
        <w:ind w:left="1619" w:leftChars="771"/>
        <w:rPr>
          <w:rFonts w:ascii="Times New Roman" w:hAnsi="Times New Roman" w:eastAsia="黑体" w:cs="Times New Roman"/>
          <w:color w:val="auto"/>
          <w:sz w:val="24"/>
          <w:highlight w:val="none"/>
        </w:rPr>
      </w:pPr>
      <w:bookmarkStart w:id="185" w:name="_Toc20930_WPSOffice_Level1"/>
      <w:bookmarkStart w:id="186" w:name="_Toc12459_WPSOffice_Level1"/>
      <w:bookmarkStart w:id="187" w:name="_Toc24262_WPSOffice_Level1"/>
      <w:bookmarkStart w:id="188" w:name="_Toc32220_WPSOffice_Level1"/>
      <w:r>
        <w:rPr>
          <w:rFonts w:hint="eastAsia" w:ascii="Times New Roman" w:hAnsi="Times New Roman" w:eastAsia="黑体" w:cs="Times New Roman"/>
          <w:color w:val="auto"/>
          <w:sz w:val="24"/>
          <w:highlight w:val="none"/>
          <w:lang w:eastAsia="zh-CN"/>
        </w:rPr>
        <w:t>五</w:t>
      </w:r>
      <w:bookmarkEnd w:id="185"/>
      <w:bookmarkEnd w:id="186"/>
      <w:bookmarkEnd w:id="187"/>
      <w:bookmarkEnd w:id="188"/>
      <w:bookmarkStart w:id="189" w:name="_Toc27403_WPSOffice_Level1"/>
      <w:bookmarkStart w:id="190" w:name="_Toc32648_WPSOffice_Level1"/>
      <w:bookmarkStart w:id="191" w:name="_Toc30273_WPSOffice_Level1"/>
      <w:bookmarkStart w:id="192" w:name="_Toc25804_WPSOffice_Level1"/>
      <w:r>
        <w:rPr>
          <w:rFonts w:ascii="Times New Roman" w:hAnsi="Times New Roman" w:eastAsia="黑体" w:cs="Times New Roman"/>
          <w:color w:val="auto"/>
          <w:sz w:val="24"/>
          <w:highlight w:val="none"/>
        </w:rPr>
        <w:t>、</w:t>
      </w:r>
      <w:bookmarkEnd w:id="189"/>
      <w:bookmarkEnd w:id="190"/>
      <w:bookmarkEnd w:id="191"/>
      <w:bookmarkEnd w:id="192"/>
      <w:r>
        <w:rPr>
          <w:rFonts w:ascii="Times New Roman" w:hAnsi="Times New Roman" w:eastAsia="黑体" w:cs="Times New Roman"/>
          <w:color w:val="auto"/>
          <w:sz w:val="24"/>
          <w:highlight w:val="none"/>
        </w:rPr>
        <w:t>信誉情况</w:t>
      </w:r>
    </w:p>
    <w:p>
      <w:pPr>
        <w:spacing w:line="440" w:lineRule="exact"/>
        <w:ind w:left="1619" w:leftChars="771"/>
        <w:rPr>
          <w:rFonts w:ascii="Times New Roman" w:hAnsi="Times New Roman" w:eastAsia="黑体" w:cs="Times New Roman"/>
          <w:color w:val="auto"/>
          <w:sz w:val="24"/>
          <w:highlight w:val="none"/>
        </w:rPr>
      </w:pPr>
      <w:bookmarkStart w:id="193" w:name="_Toc5885_WPSOffice_Level1"/>
      <w:bookmarkStart w:id="194" w:name="_Toc16988_WPSOffice_Level1"/>
      <w:r>
        <w:rPr>
          <w:rFonts w:hint="eastAsia" w:ascii="Times New Roman" w:hAnsi="Times New Roman" w:eastAsia="黑体" w:cs="Times New Roman"/>
          <w:color w:val="auto"/>
          <w:sz w:val="24"/>
          <w:highlight w:val="none"/>
          <w:lang w:eastAsia="zh-CN"/>
        </w:rPr>
        <w:t>六</w:t>
      </w:r>
      <w:r>
        <w:rPr>
          <w:rFonts w:ascii="Times New Roman" w:hAnsi="Times New Roman" w:eastAsia="黑体" w:cs="Times New Roman"/>
          <w:color w:val="auto"/>
          <w:sz w:val="24"/>
          <w:highlight w:val="none"/>
        </w:rPr>
        <w:t>、其他材料</w:t>
      </w:r>
      <w:bookmarkEnd w:id="172"/>
      <w:bookmarkEnd w:id="193"/>
      <w:bookmarkEnd w:id="194"/>
    </w:p>
    <w:p>
      <w:pPr>
        <w:spacing w:line="440" w:lineRule="exact"/>
        <w:ind w:left="1619" w:leftChars="771"/>
        <w:rPr>
          <w:rFonts w:ascii="Times New Roman" w:hAnsi="Times New Roman" w:eastAsia="黑体" w:cs="Times New Roman"/>
          <w:color w:val="auto"/>
          <w:sz w:val="24"/>
          <w:highlight w:val="none"/>
        </w:rPr>
      </w:pPr>
    </w:p>
    <w:p>
      <w:pPr>
        <w:spacing w:line="440" w:lineRule="exact"/>
        <w:ind w:left="1619" w:leftChars="771"/>
        <w:rPr>
          <w:rFonts w:ascii="Times New Roman" w:hAnsi="Times New Roman" w:eastAsia="黑体" w:cs="Times New Roman"/>
          <w:color w:val="auto"/>
          <w:sz w:val="24"/>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95" w:name="_Toc30587_WPSOffice_Level1"/>
      <w:bookmarkStart w:id="196" w:name="_Toc1017_WPSOffice_Level1"/>
      <w:bookmarkStart w:id="197" w:name="_Toc1687_WPSOffice_Level1"/>
      <w:bookmarkStart w:id="198" w:name="_Toc18312_WPSOffice_Level1"/>
      <w:bookmarkStart w:id="199" w:name="_Toc2765_WPSOffice_Level1"/>
      <w:bookmarkStart w:id="200" w:name="_Toc3972_WPSOffice_Level1"/>
      <w:bookmarkStart w:id="201" w:name="_Toc12036_WPSOffice_Level1"/>
      <w:r>
        <w:rPr>
          <w:rFonts w:ascii="Times New Roman" w:hAnsi="Times New Roman" w:eastAsia="黑体" w:cs="Times New Roman"/>
          <w:color w:val="auto"/>
          <w:sz w:val="28"/>
          <w:szCs w:val="28"/>
          <w:highlight w:val="none"/>
        </w:rPr>
        <w:t>一、</w:t>
      </w:r>
      <w:bookmarkEnd w:id="195"/>
      <w:bookmarkEnd w:id="196"/>
      <w:bookmarkEnd w:id="197"/>
      <w:bookmarkEnd w:id="198"/>
      <w:bookmarkEnd w:id="199"/>
      <w:bookmarkEnd w:id="200"/>
      <w:bookmarkEnd w:id="201"/>
      <w:r>
        <w:rPr>
          <w:rFonts w:hint="eastAsia" w:ascii="Times New Roman" w:hAnsi="Times New Roman" w:eastAsia="黑体" w:cs="Times New Roman"/>
          <w:color w:val="auto"/>
          <w:sz w:val="28"/>
          <w:szCs w:val="28"/>
          <w:highlight w:val="none"/>
        </w:rPr>
        <w:t>投标函</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(采购人名称)：</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合同包询比文件的全部内容(含补遗书第__号至第__号)，愿意以</w:t>
      </w:r>
      <w:r>
        <w:rPr>
          <w:rFonts w:hint="eastAsia" w:ascii="Times New Roman" w:hAnsi="Times New Roman" w:cs="Times New Roman"/>
          <w:color w:val="auto"/>
          <w:sz w:val="24"/>
          <w:highlight w:val="none"/>
        </w:rPr>
        <w:t>入库有效期</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，按合同约定实施和完成相应项目，质量目标达到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3．随同本</w:t>
      </w:r>
      <w:r>
        <w:rPr>
          <w:rFonts w:hint="eastAsia" w:ascii="Times New Roman" w:hAnsi="Times New Roman" w:cs="Times New Roman"/>
          <w:color w:val="auto"/>
          <w:sz w:val="24"/>
          <w:highlight w:val="none"/>
        </w:rPr>
        <w:t>投标函</w:t>
      </w:r>
      <w:r>
        <w:rPr>
          <w:rFonts w:ascii="Times New Roman" w:hAnsi="Times New Roman" w:cs="Times New Roman"/>
          <w:color w:val="auto"/>
          <w:sz w:val="24"/>
          <w:highlight w:val="none"/>
        </w:rPr>
        <w:t>提交响应保证金一份，金额为人民币(大写)</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元(¥</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4．如我方成交：</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我方承诺在收到入围通知书后，</w:t>
      </w:r>
      <w:r>
        <w:rPr>
          <w:rFonts w:hint="eastAsia" w:ascii="Times New Roman" w:hAnsi="Times New Roman" w:cs="Times New Roman"/>
          <w:color w:val="auto"/>
          <w:sz w:val="24"/>
          <w:highlight w:val="none"/>
        </w:rPr>
        <w:t>按时参加你方组织的库内比选</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5．我方在此声明，所递交的响应文件及有关资料内容完整、真实和准确。</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6．在合同协议书正式签署生效之前，本</w:t>
      </w:r>
      <w:r>
        <w:rPr>
          <w:rFonts w:hint="eastAsia" w:ascii="Times New Roman" w:hAnsi="Times New Roman" w:cs="Times New Roman"/>
          <w:color w:val="auto"/>
          <w:sz w:val="24"/>
          <w:highlight w:val="none"/>
        </w:rPr>
        <w:t>投标函</w:t>
      </w:r>
      <w:r>
        <w:rPr>
          <w:rFonts w:ascii="Times New Roman" w:hAnsi="Times New Roman" w:cs="Times New Roman"/>
          <w:color w:val="auto"/>
          <w:sz w:val="24"/>
          <w:highlight w:val="none"/>
        </w:rPr>
        <w:t>连同你方的入围通知书将构成我们双方之间共同遵守的文件，对双方具有约束力。</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7．我方理解，你方不一定接受任何报价。同时也理解，你方不负担我方的任何报价费用。</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8.____________。</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法定代表人或委托代理人：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网址：</w:t>
      </w:r>
      <w:r>
        <w:rPr>
          <w:rFonts w:ascii="Times New Roman" w:hAnsi="Times New Roman" w:cs="Times New Roman"/>
          <w:color w:val="auto"/>
          <w:sz w:val="24"/>
          <w:highlight w:val="none"/>
          <w:u w:val="singl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电话：</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电子邮箱：</w:t>
      </w:r>
      <w:r>
        <w:rPr>
          <w:rFonts w:ascii="Times New Roman" w:hAnsi="Times New Roman" w:cs="Times New Roman"/>
          <w:color w:val="auto"/>
          <w:sz w:val="24"/>
          <w:highlight w:val="none"/>
          <w:u w:val="single"/>
        </w:rPr>
        <w:t xml:space="preserve">                                  </w:t>
      </w:r>
    </w:p>
    <w:p>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440" w:lineRule="exact"/>
        <w:jc w:val="center"/>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202" w:name="_Toc4951_WPSOffice_Level1"/>
      <w:bookmarkStart w:id="203" w:name="_Toc14563_WPSOffice_Level1"/>
      <w:bookmarkStart w:id="204" w:name="_Toc1110_WPSOffice_Level1"/>
      <w:bookmarkStart w:id="205" w:name="_Toc1996_WPSOffice_Level1"/>
      <w:bookmarkStart w:id="206" w:name="_Toc32350_WPSOffice_Level1"/>
      <w:bookmarkStart w:id="207" w:name="_Toc18668_WPSOffice_Level1"/>
      <w:bookmarkStart w:id="208" w:name="_Toc10431_WPSOffice_Level1"/>
      <w:r>
        <w:rPr>
          <w:rFonts w:ascii="Times New Roman" w:hAnsi="Times New Roman" w:eastAsia="黑体" w:cs="Times New Roman"/>
          <w:color w:val="auto"/>
          <w:sz w:val="28"/>
          <w:szCs w:val="28"/>
          <w:highlight w:val="none"/>
        </w:rPr>
        <w:t>二、法定代表人身份证明及授权委托书</w:t>
      </w:r>
      <w:bookmarkEnd w:id="202"/>
      <w:bookmarkEnd w:id="203"/>
      <w:bookmarkEnd w:id="204"/>
      <w:bookmarkEnd w:id="205"/>
      <w:bookmarkEnd w:id="206"/>
      <w:bookmarkEnd w:id="207"/>
      <w:bookmarkEnd w:id="208"/>
    </w:p>
    <w:p>
      <w:pPr>
        <w:spacing w:line="440" w:lineRule="exact"/>
        <w:rPr>
          <w:rFonts w:ascii="Times New Roman" w:hAnsi="Times New Roman" w:cs="Times New Roman"/>
          <w:color w:val="auto"/>
          <w:sz w:val="20"/>
          <w:szCs w:val="20"/>
          <w:highlight w:val="none"/>
        </w:rPr>
      </w:pPr>
    </w:p>
    <w:p>
      <w:pPr>
        <w:spacing w:line="440" w:lineRule="exact"/>
        <w:jc w:val="center"/>
        <w:rPr>
          <w:rFonts w:ascii="Times New Roman" w:hAnsi="Times New Roman" w:cs="Times New Roman"/>
          <w:color w:val="auto"/>
          <w:sz w:val="28"/>
          <w:szCs w:val="28"/>
          <w:highlight w:val="none"/>
        </w:rPr>
      </w:pPr>
      <w:bookmarkStart w:id="209" w:name="_Toc20803_WPSOffice_Level2"/>
      <w:bookmarkStart w:id="210" w:name="_Toc5153_WPSOffice_Level2"/>
      <w:r>
        <w:rPr>
          <w:rFonts w:ascii="Times New Roman" w:hAnsi="Times New Roman" w:eastAsia="黑体" w:cs="Times New Roman"/>
          <w:bCs/>
          <w:color w:val="auto"/>
          <w:sz w:val="28"/>
          <w:szCs w:val="28"/>
          <w:highlight w:val="none"/>
        </w:rPr>
        <w:t>2-1 法定代表人身份证明</w:t>
      </w:r>
      <w:bookmarkEnd w:id="209"/>
      <w:bookmarkEnd w:id="210"/>
    </w:p>
    <w:p>
      <w:pPr>
        <w:spacing w:line="440" w:lineRule="exact"/>
        <w:rPr>
          <w:rFonts w:ascii="Times New Roman" w:hAnsi="Times New Roman" w:cs="Times New Roman"/>
          <w:color w:val="auto"/>
          <w:sz w:val="20"/>
          <w:szCs w:val="20"/>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单位性质：</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成立时间：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日</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经营期限：</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姓名：</w:t>
      </w:r>
      <w:r>
        <w:rPr>
          <w:rFonts w:ascii="Times New Roman" w:hAnsi="Times New Roman" w:cs="Times New Roman"/>
          <w:color w:val="auto"/>
          <w:sz w:val="24"/>
          <w:highlight w:val="none"/>
          <w:u w:val="single"/>
        </w:rPr>
        <w:t xml:space="preserve">  </w:t>
      </w:r>
      <w:r>
        <w:rPr>
          <w:rFonts w:ascii="Times New Roman" w:hAnsi="Times New Roman" w:cs="Times New Roman"/>
          <w:bCs/>
          <w:color w:val="auto"/>
          <w:sz w:val="24"/>
          <w:highlight w:val="none"/>
          <w:u w:val="single"/>
        </w:rPr>
        <w:t xml:space="preserve">                </w:t>
      </w:r>
      <w:r>
        <w:rPr>
          <w:rFonts w:ascii="Times New Roman" w:hAnsi="Times New Roman" w:cs="Times New Roman"/>
          <w:color w:val="auto"/>
          <w:sz w:val="24"/>
          <w:highlight w:val="none"/>
        </w:rPr>
        <w:t xml:space="preserve"> 性别：</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年龄：</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职务：</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(供应商名称)的法定代表人。</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附：法定代表人身份证正反面复印件</w:t>
      </w:r>
    </w:p>
    <w:p>
      <w:pPr>
        <w:spacing w:line="440" w:lineRule="exact"/>
        <w:ind w:firstLine="480" w:firstLineChars="200"/>
        <w:rPr>
          <w:rFonts w:ascii="Times New Roman" w:hAnsi="Times New Roman" w:cs="Times New Roman"/>
          <w:color w:val="auto"/>
          <w:sz w:val="24"/>
          <w:highlight w:val="none"/>
        </w:rPr>
      </w:pP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特此证明。</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日           </w:t>
      </w: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ind w:left="315" w:hanging="315" w:hangingChars="150"/>
        <w:rPr>
          <w:rFonts w:ascii="Times New Roman" w:hAnsi="Times New Roman" w:eastAsia="黑体" w:cs="Times New Roman"/>
          <w:color w:val="auto"/>
          <w:szCs w:val="21"/>
          <w:highlight w:val="none"/>
        </w:rPr>
      </w:pPr>
    </w:p>
    <w:p>
      <w:pPr>
        <w:topLinePunct/>
        <w:spacing w:line="440" w:lineRule="exact"/>
        <w:ind w:left="315" w:hanging="315" w:hangingChars="150"/>
        <w:rPr>
          <w:rFonts w:ascii="Times New Roman" w:hAnsi="Times New Roman" w:eastAsia="黑体" w:cs="Times New Roman"/>
          <w:bCs/>
          <w:color w:val="auto"/>
          <w:szCs w:val="21"/>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4"/>
          <w:highlight w:val="none"/>
        </w:rPr>
        <w:br w:type="page"/>
      </w:r>
      <w:bookmarkStart w:id="211" w:name="_Toc12035_WPSOffice_Level2"/>
      <w:bookmarkStart w:id="212" w:name="_Toc19768_WPSOffice_Level2"/>
      <w:r>
        <w:rPr>
          <w:rFonts w:ascii="Times New Roman" w:hAnsi="Times New Roman" w:eastAsia="黑体" w:cs="Times New Roman"/>
          <w:bCs/>
          <w:color w:val="auto"/>
          <w:sz w:val="28"/>
          <w:szCs w:val="28"/>
          <w:highlight w:val="none"/>
        </w:rPr>
        <w:t xml:space="preserve">2-2 </w:t>
      </w:r>
      <w:r>
        <w:rPr>
          <w:rFonts w:ascii="Times New Roman" w:hAnsi="Times New Roman" w:eastAsia="黑体" w:cs="Times New Roman"/>
          <w:color w:val="auto"/>
          <w:sz w:val="28"/>
          <w:szCs w:val="28"/>
          <w:highlight w:val="none"/>
        </w:rPr>
        <w:t>授权委托书</w:t>
      </w:r>
      <w:bookmarkEnd w:id="211"/>
      <w:bookmarkEnd w:id="212"/>
    </w:p>
    <w:p>
      <w:pPr>
        <w:spacing w:line="440" w:lineRule="exact"/>
        <w:rPr>
          <w:rFonts w:ascii="Times New Roman" w:hAnsi="Times New Roman" w:eastAsia="黑体" w:cs="Times New Roman"/>
          <w:color w:val="auto"/>
          <w:sz w:val="24"/>
          <w:highlight w:val="none"/>
        </w:rPr>
      </w:pPr>
    </w:p>
    <w:p>
      <w:pPr>
        <w:topLinePunct/>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(供应商名称)的法定代表人，现委托</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(姓名)为我方代理人。代理人根据授权，以我方名义签署、澄清、说明、补正、递交、撤回、修改</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合同包响应文件、签订合同和处理有关事宜，其法律后果由我方承担。</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委托期限：</w:t>
      </w:r>
      <w:r>
        <w:rPr>
          <w:rFonts w:ascii="Times New Roman" w:hAnsi="Times New Roman" w:cs="Times New Roman"/>
          <w:color w:val="auto"/>
          <w:sz w:val="24"/>
          <w:highlight w:val="none"/>
          <w:u w:val="single"/>
        </w:rPr>
        <w:t>自授权委托之日起至签订</w:t>
      </w:r>
      <w:r>
        <w:rPr>
          <w:rFonts w:hint="eastAsia" w:ascii="Times New Roman" w:hAnsi="Times New Roman" w:cs="Times New Roman"/>
          <w:color w:val="auto"/>
          <w:sz w:val="24"/>
          <w:highlight w:val="none"/>
          <w:u w:val="single"/>
        </w:rPr>
        <w:t>框架协议</w:t>
      </w:r>
      <w:r>
        <w:rPr>
          <w:rFonts w:ascii="Times New Roman" w:hAnsi="Times New Roman" w:cs="Times New Roman"/>
          <w:color w:val="auto"/>
          <w:sz w:val="24"/>
          <w:highlight w:val="none"/>
          <w:u w:val="single"/>
        </w:rPr>
        <w:t>合同之日止</w:t>
      </w:r>
      <w:r>
        <w:rPr>
          <w:rFonts w:ascii="Times New Roman" w:hAnsi="Times New Roman" w:cs="Times New Roman"/>
          <w:color w:val="auto"/>
          <w:sz w:val="24"/>
          <w:highlight w:val="none"/>
        </w:rPr>
        <w:t>。</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代理人无转委托权。</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附：法定代表人身份证明、委托代理人的身份证正反面复印件</w:t>
      </w:r>
    </w:p>
    <w:p>
      <w:pPr>
        <w:spacing w:line="440" w:lineRule="exact"/>
        <w:ind w:firstLine="480" w:firstLineChars="200"/>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ind w:firstLine="1800" w:firstLineChars="750"/>
        <w:rPr>
          <w:rFonts w:ascii="Times New Roman" w:hAnsi="Times New Roman" w:eastAsia="黑体"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 xml:space="preserve"> </w:t>
      </w:r>
    </w:p>
    <w:p>
      <w:pPr>
        <w:spacing w:line="360" w:lineRule="exact"/>
        <w:ind w:left="360" w:hanging="360" w:hangingChars="200"/>
        <w:rPr>
          <w:rFonts w:ascii="Times New Roman" w:hAnsi="Times New Roman" w:eastAsia="黑体" w:cs="Times New Roman"/>
          <w:color w:val="auto"/>
          <w:sz w:val="18"/>
          <w:szCs w:val="18"/>
          <w:highlight w:val="none"/>
        </w:rPr>
      </w:pPr>
    </w:p>
    <w:p>
      <w:pPr>
        <w:spacing w:line="440" w:lineRule="exact"/>
        <w:ind w:firstLine="480" w:firstLineChars="200"/>
        <w:rPr>
          <w:rFonts w:ascii="Times New Roman" w:hAnsi="Times New Roman" w:eastAsia="黑体" w:cs="Times New Roman"/>
          <w:color w:val="auto"/>
          <w:sz w:val="24"/>
          <w:highlight w:val="none"/>
        </w:rPr>
      </w:pPr>
    </w:p>
    <w:p>
      <w:pPr>
        <w:spacing w:line="440" w:lineRule="exact"/>
        <w:ind w:firstLine="480" w:firstLineChars="200"/>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4"/>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color w:val="auto"/>
          <w:sz w:val="28"/>
          <w:szCs w:val="28"/>
          <w:highlight w:val="none"/>
        </w:rPr>
      </w:pPr>
      <w:bookmarkStart w:id="213" w:name="_Toc31445_WPSOffice_Level1"/>
      <w:bookmarkStart w:id="214" w:name="_Toc7798_WPSOffice_Level1"/>
      <w:bookmarkStart w:id="215" w:name="_Toc7738_WPSOffice_Level1"/>
      <w:bookmarkStart w:id="216" w:name="_Toc10646_WPSOffice_Level1"/>
      <w:bookmarkStart w:id="217" w:name="_Toc10436_WPSOffice_Level1"/>
      <w:bookmarkStart w:id="218" w:name="_Toc1825_WPSOffice_Level1"/>
      <w:bookmarkStart w:id="219" w:name="_Toc19015_WPSOffice_Level1"/>
      <w:r>
        <w:rPr>
          <w:rFonts w:hint="eastAsia" w:ascii="Times New Roman" w:hAnsi="Times New Roman" w:eastAsia="黑体" w:cs="Times New Roman"/>
          <w:color w:val="auto"/>
          <w:sz w:val="28"/>
          <w:szCs w:val="28"/>
          <w:highlight w:val="none"/>
          <w:lang w:eastAsia="zh-CN"/>
        </w:rPr>
        <w:t>三</w:t>
      </w:r>
      <w:r>
        <w:rPr>
          <w:rFonts w:ascii="Times New Roman" w:hAnsi="Times New Roman" w:eastAsia="黑体" w:cs="Times New Roman"/>
          <w:color w:val="auto"/>
          <w:sz w:val="28"/>
          <w:szCs w:val="28"/>
          <w:highlight w:val="none"/>
        </w:rPr>
        <w:t>、</w:t>
      </w:r>
      <w:bookmarkStart w:id="220" w:name="_Toc2807_WPSOffice_Level2"/>
      <w:bookmarkStart w:id="221" w:name="_Toc27600_WPSOffice_Level2"/>
      <w:r>
        <w:rPr>
          <w:rFonts w:ascii="Times New Roman" w:hAnsi="Times New Roman" w:eastAsia="黑体" w:cs="Times New Roman"/>
          <w:color w:val="auto"/>
          <w:sz w:val="28"/>
          <w:szCs w:val="28"/>
          <w:highlight w:val="none"/>
        </w:rPr>
        <w:t>供应商基本情况</w:t>
      </w:r>
      <w:bookmarkEnd w:id="213"/>
      <w:bookmarkEnd w:id="214"/>
      <w:bookmarkEnd w:id="215"/>
      <w:bookmarkEnd w:id="216"/>
      <w:bookmarkEnd w:id="217"/>
      <w:bookmarkEnd w:id="218"/>
      <w:bookmarkEnd w:id="219"/>
      <w:bookmarkEnd w:id="220"/>
      <w:bookmarkEnd w:id="221"/>
    </w:p>
    <w:p>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color w:val="auto"/>
                <w:szCs w:val="21"/>
                <w:highlight w:val="none"/>
              </w:rPr>
            </w:pPr>
          </w:p>
          <w:p>
            <w:pPr>
              <w:topLinePunct/>
              <w:spacing w:line="440" w:lineRule="exact"/>
              <w:jc w:val="center"/>
              <w:rPr>
                <w:rFonts w:ascii="Times New Roman" w:hAnsi="Times New Roman" w:cs="Times New Roman"/>
                <w:color w:val="auto"/>
                <w:szCs w:val="21"/>
                <w:highlight w:val="none"/>
              </w:rPr>
            </w:pPr>
          </w:p>
          <w:p>
            <w:pPr>
              <w:topLinePunct/>
              <w:spacing w:line="440" w:lineRule="exact"/>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ascii="Times New Roman" w:hAnsi="Times New Roman" w:cs="Times New Roman"/>
          <w:color w:val="auto"/>
          <w:sz w:val="20"/>
          <w:szCs w:val="20"/>
          <w:highlight w:val="none"/>
        </w:rPr>
      </w:pPr>
      <w:r>
        <w:rPr>
          <w:rFonts w:ascii="Times New Roman" w:hAnsi="Times New Roman" w:eastAsia="黑体" w:cs="Times New Roman"/>
          <w:color w:val="auto"/>
          <w:szCs w:val="21"/>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在本表后应附企业法人营业执照（事业单位法人证书，如有）、资质证书（如有）及资格审查要求的其他证件复印件。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p>
    <w:p>
      <w:pPr>
        <w:widowControl/>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br w:type="page"/>
      </w:r>
    </w:p>
    <w:p>
      <w:pPr>
        <w:pStyle w:val="9"/>
        <w:spacing w:line="240" w:lineRule="atLeast"/>
        <w:ind w:left="560" w:leftChars="0" w:right="-512" w:rightChars="-244" w:hanging="560" w:hangingChars="200"/>
        <w:jc w:val="center"/>
        <w:rPr>
          <w:rFonts w:ascii="Times New Roman" w:hAnsi="Times New Roman" w:cs="Times New Roman"/>
          <w:color w:val="auto"/>
          <w:sz w:val="28"/>
          <w:szCs w:val="28"/>
          <w:highlight w:val="none"/>
        </w:rPr>
      </w:pPr>
      <w:bookmarkStart w:id="222" w:name="_Toc173_WPSOffice_Level1"/>
      <w:bookmarkStart w:id="223" w:name="_Toc19004_WPSOffice_Level1"/>
      <w:bookmarkStart w:id="224" w:name="_Toc3772_WPSOffice_Level1"/>
      <w:bookmarkStart w:id="225" w:name="_Toc13664_WPSOffice_Level1"/>
      <w:bookmarkStart w:id="226" w:name="_Toc18547_WPSOffice_Level1"/>
      <w:r>
        <w:rPr>
          <w:rFonts w:hint="eastAsia" w:ascii="Times New Roman" w:hAnsi="Times New Roman" w:eastAsia="黑体" w:cs="Times New Roman"/>
          <w:color w:val="auto"/>
          <w:sz w:val="28"/>
          <w:szCs w:val="28"/>
          <w:highlight w:val="none"/>
          <w:lang w:eastAsia="zh-CN"/>
        </w:rPr>
        <w:t>四</w:t>
      </w:r>
      <w:r>
        <w:rPr>
          <w:rFonts w:ascii="Times New Roman" w:hAnsi="Times New Roman" w:eastAsia="黑体" w:cs="Times New Roman"/>
          <w:color w:val="auto"/>
          <w:sz w:val="28"/>
          <w:szCs w:val="28"/>
          <w:highlight w:val="none"/>
        </w:rPr>
        <w:t>、近年类似业绩情况</w:t>
      </w:r>
      <w:bookmarkEnd w:id="222"/>
      <w:bookmarkEnd w:id="223"/>
      <w:bookmarkEnd w:id="224"/>
      <w:bookmarkEnd w:id="225"/>
      <w:bookmarkEnd w:id="226"/>
    </w:p>
    <w:p>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1、业绩证明材料要求：________</w:t>
      </w:r>
      <w:r>
        <w:rPr>
          <w:rFonts w:hint="eastAsia" w:ascii="Times New Roman" w:hAnsi="Times New Roman" w:eastAsia="黑体" w:cs="Times New Roman"/>
          <w:color w:val="auto"/>
          <w:szCs w:val="21"/>
          <w:highlight w:val="none"/>
        </w:rPr>
        <w:t>合同复印件及相关证明材料</w:t>
      </w:r>
      <w:r>
        <w:rPr>
          <w:rFonts w:ascii="Times New Roman" w:hAnsi="Times New Roman" w:eastAsia="黑体" w:cs="Times New Roman"/>
          <w:color w:val="auto"/>
          <w:szCs w:val="21"/>
          <w:highlight w:val="none"/>
        </w:rPr>
        <w:t>________________。</w:t>
      </w:r>
    </w:p>
    <w:p>
      <w:pPr>
        <w:widowControl/>
        <w:autoSpaceDE w:val="0"/>
        <w:autoSpaceDN w:val="0"/>
        <w:spacing w:line="360" w:lineRule="atLeast"/>
        <w:ind w:left="420" w:leftChars="200"/>
        <w:textAlignment w:val="bottom"/>
        <w:rPr>
          <w:rFonts w:ascii="Times New Roman" w:hAnsi="Times New Roman" w:eastAsia="黑体" w:cs="Times New Roman"/>
          <w:color w:val="auto"/>
          <w:sz w:val="27"/>
          <w:szCs w:val="27"/>
          <w:highlight w:val="none"/>
        </w:rPr>
      </w:pPr>
      <w:r>
        <w:rPr>
          <w:rFonts w:ascii="Times New Roman" w:hAnsi="Times New Roman" w:eastAsia="黑体" w:cs="Times New Roman"/>
          <w:color w:val="auto"/>
          <w:szCs w:val="21"/>
          <w:highlight w:val="none"/>
        </w:rPr>
        <w:t>2、如近年来，供应商法人机构发生合法变更或重组或法人名称变更时，应提供相关部门的合法批件或其他相关证明材料来证明其所附业绩的继承性。</w:t>
      </w:r>
    </w:p>
    <w:p>
      <w:pPr>
        <w:pStyle w:val="8"/>
        <w:rPr>
          <w:rFonts w:ascii="Times New Roman" w:hAnsi="Times New Roman" w:cs="Times New Roman"/>
          <w:color w:val="auto"/>
          <w:highlight w:val="none"/>
        </w:rPr>
      </w:pPr>
    </w:p>
    <w:p>
      <w:pPr>
        <w:ind w:firstLine="420" w:firstLineChars="200"/>
        <w:rPr>
          <w:rFonts w:hint="eastAsia"/>
        </w:rPr>
      </w:pPr>
      <w:r>
        <w:rPr>
          <w:rFonts w:hint="eastAsia"/>
        </w:rPr>
        <w:t>1、业绩要求</w:t>
      </w:r>
    </w:p>
    <w:p>
      <w:pPr>
        <w:ind w:firstLine="420" w:firstLineChars="200"/>
        <w:rPr>
          <w:rFonts w:hint="eastAsia"/>
        </w:rPr>
      </w:pPr>
      <w:r>
        <w:rPr>
          <w:rFonts w:hint="eastAsia"/>
        </w:rPr>
        <w:t>2020年1月1日至今(以合同签订时间为准)具备安徽省内3个单项合同金额不低于</w:t>
      </w:r>
      <w:r>
        <w:rPr>
          <w:rFonts w:hint="eastAsia"/>
          <w:lang w:val="en-US" w:eastAsia="zh-CN"/>
        </w:rPr>
        <w:t>1</w:t>
      </w:r>
      <w:r>
        <w:rPr>
          <w:rFonts w:hint="eastAsia"/>
        </w:rPr>
        <w:t>00万元的与政府机关/事业单位/上市公司/国有企业的类似食材供货业绩。业绩内容须涵盖采购范围（肉类及肉制品、水产、果蔬、禽蛋、干货调味、乳制品、豆制品、米面油、食堂一次性物料消耗品等）其中4个类别及以上。</w:t>
      </w:r>
    </w:p>
    <w:p>
      <w:pPr>
        <w:ind w:firstLine="420" w:firstLineChars="200"/>
        <w:rPr>
          <w:rFonts w:hint="eastAsia"/>
        </w:rPr>
      </w:pPr>
      <w:r>
        <w:rPr>
          <w:rFonts w:hint="eastAsia"/>
        </w:rPr>
        <w:t>注：业绩须提供合同（包含合同清单）及该合同的累计结算不低于</w:t>
      </w:r>
      <w:r>
        <w:rPr>
          <w:rFonts w:hint="eastAsia"/>
          <w:lang w:val="en-US" w:eastAsia="zh-CN"/>
        </w:rPr>
        <w:t>1</w:t>
      </w:r>
      <w:r>
        <w:rPr>
          <w:rFonts w:hint="eastAsia"/>
        </w:rPr>
        <w:t>0</w:t>
      </w:r>
      <w:r>
        <w:rPr>
          <w:rFonts w:hint="eastAsia"/>
          <w:lang w:val="en-US" w:eastAsia="zh-CN"/>
        </w:rPr>
        <w:t>0</w:t>
      </w:r>
      <w:r>
        <w:rPr>
          <w:rFonts w:hint="eastAsia"/>
        </w:rPr>
        <w:t>万元的发票或者转账凭证，否则该业绩不予认可。</w:t>
      </w:r>
    </w:p>
    <w:p>
      <w:pPr>
        <w:ind w:firstLine="420" w:firstLineChars="200"/>
        <w:rPr>
          <w:rFonts w:hint="eastAsia"/>
        </w:rPr>
      </w:pPr>
      <w:r>
        <w:rPr>
          <w:rFonts w:hint="eastAsia"/>
          <w:lang w:val="en-US" w:eastAsia="zh-CN"/>
        </w:rPr>
        <w:t>2</w:t>
      </w:r>
      <w:r>
        <w:rPr>
          <w:rFonts w:hint="eastAsia"/>
        </w:rPr>
        <w:t>、仓储服务</w:t>
      </w:r>
    </w:p>
    <w:p>
      <w:pPr>
        <w:ind w:firstLine="420" w:firstLineChars="200"/>
        <w:rPr>
          <w:rFonts w:hint="eastAsia"/>
        </w:rPr>
      </w:pPr>
      <w:r>
        <w:rPr>
          <w:rFonts w:hint="eastAsia"/>
        </w:rPr>
        <w:t>在安徽省内拥有单个仓储面积不低于1000㎡，单个仓储内冷藏冷冻库面积不低于200</w:t>
      </w:r>
      <w:r>
        <w:rPr>
          <w:rFonts w:hint="eastAsia"/>
          <w:lang w:val="en-US" w:eastAsia="zh-CN"/>
        </w:rPr>
        <w:t>立方</w:t>
      </w:r>
      <w:r>
        <w:rPr>
          <w:rFonts w:hint="eastAsia"/>
        </w:rPr>
        <w:t>。</w:t>
      </w:r>
    </w:p>
    <w:p>
      <w:pPr>
        <w:ind w:firstLine="420" w:firstLineChars="200"/>
        <w:rPr>
          <w:rFonts w:hint="eastAsia"/>
        </w:rPr>
      </w:pPr>
      <w:r>
        <w:rPr>
          <w:rFonts w:hint="eastAsia"/>
        </w:rPr>
        <w:t>注：仓库自有产权的提供房产证及土地使用证，租赁的提供租赁合同、转账凭证和发票；冷藏冷冻库为自有的提供冷藏冷冻库面积证明材料及自有证明材料扫描件，租赁的冷藏冷冻库提供冷藏冷冻库面积证明材料及租赁合同扫描件；入围后投标人进行现场考察，若考察实际场地与提供的资料、照片、面积不符，取消入围资格并列入不良记录行为。</w:t>
      </w:r>
    </w:p>
    <w:p>
      <w:pPr>
        <w:ind w:firstLine="420" w:firstLineChars="200"/>
        <w:rPr>
          <w:rFonts w:hint="eastAsia"/>
        </w:rPr>
      </w:pPr>
      <w:r>
        <w:rPr>
          <w:rFonts w:hint="eastAsia"/>
          <w:lang w:val="en-US" w:eastAsia="zh-CN"/>
        </w:rPr>
        <w:t>3</w:t>
      </w:r>
      <w:r>
        <w:rPr>
          <w:rFonts w:hint="eastAsia"/>
        </w:rPr>
        <w:t>、配送能力</w:t>
      </w:r>
    </w:p>
    <w:p>
      <w:pPr>
        <w:ind w:firstLine="420" w:firstLineChars="200"/>
        <w:rPr>
          <w:rFonts w:hint="eastAsia"/>
        </w:rPr>
      </w:pPr>
      <w:r>
        <w:rPr>
          <w:rFonts w:hint="eastAsia"/>
        </w:rPr>
        <w:t>供应商自有及租赁的冷藏配送车辆不低于</w:t>
      </w:r>
      <w:r>
        <w:rPr>
          <w:rFonts w:hint="eastAsia"/>
          <w:lang w:val="en-US" w:eastAsia="zh-CN"/>
        </w:rPr>
        <w:t>3</w:t>
      </w:r>
      <w:r>
        <w:rPr>
          <w:rFonts w:hint="eastAsia"/>
        </w:rPr>
        <w:t>辆。</w:t>
      </w:r>
    </w:p>
    <w:p>
      <w:pPr>
        <w:ind w:firstLine="420" w:firstLineChars="200"/>
        <w:rPr>
          <w:rFonts w:hint="eastAsia"/>
        </w:rPr>
      </w:pPr>
      <w:r>
        <w:rPr>
          <w:rFonts w:hint="eastAsia"/>
        </w:rPr>
        <w:t xml:space="preserve">注：自有车辆须同时提供购车发票、车辆行驶证扫描件及车辆照片。租赁车辆需提供租赁合同、连续三个月（招标公示之日起一年内）租赁费用转账凭证及发票、车辆行驶证以及车辆照片。      </w:t>
      </w:r>
    </w:p>
    <w:p>
      <w:pPr>
        <w:ind w:firstLine="420" w:firstLineChars="200"/>
        <w:rPr>
          <w:rFonts w:hint="eastAsia"/>
        </w:rPr>
      </w:pPr>
      <w:r>
        <w:rPr>
          <w:rFonts w:hint="eastAsia"/>
          <w:lang w:val="en-US" w:eastAsia="zh-CN"/>
        </w:rPr>
        <w:t>4</w:t>
      </w:r>
      <w:r>
        <w:rPr>
          <w:rFonts w:hint="eastAsia"/>
        </w:rPr>
        <w:t>、安全保障能力</w:t>
      </w:r>
    </w:p>
    <w:p>
      <w:pPr>
        <w:ind w:firstLine="420" w:firstLineChars="200"/>
        <w:rPr>
          <w:rFonts w:hint="eastAsia"/>
        </w:rPr>
      </w:pPr>
      <w:r>
        <w:rPr>
          <w:rFonts w:hint="eastAsia"/>
        </w:rPr>
        <w:t>供应商具有有效期内的食品安全责任险。</w:t>
      </w:r>
    </w:p>
    <w:p>
      <w:pPr>
        <w:ind w:firstLine="420" w:firstLineChars="200"/>
        <w:rPr>
          <w:rFonts w:hint="eastAsia"/>
        </w:rPr>
      </w:pPr>
      <w:r>
        <w:rPr>
          <w:rFonts w:hint="eastAsia"/>
        </w:rPr>
        <w:t>注：被保险人须与供应商名称一致，投保日期在本项目招标公告发布之前；应提供产品购买食品安全责任保险单保单扫描件；必须承诺食品安全责任险到期后继续购买针对本项目食材的食品安全责任保险。</w:t>
      </w:r>
    </w:p>
    <w:p>
      <w:pPr>
        <w:ind w:firstLine="420" w:firstLineChars="200"/>
        <w:rPr>
          <w:rFonts w:hint="eastAsia"/>
        </w:rPr>
      </w:pPr>
      <w:r>
        <w:rPr>
          <w:rFonts w:hint="eastAsia"/>
          <w:lang w:val="en-US" w:eastAsia="zh-CN"/>
        </w:rPr>
        <w:t>5</w:t>
      </w:r>
      <w:r>
        <w:rPr>
          <w:rFonts w:hint="eastAsia"/>
        </w:rPr>
        <w:t>、食品安全检查</w:t>
      </w:r>
    </w:p>
    <w:p>
      <w:pPr>
        <w:ind w:firstLine="420" w:firstLineChars="200"/>
        <w:rPr>
          <w:rFonts w:hint="eastAsia"/>
        </w:rPr>
      </w:pPr>
      <w:r>
        <w:rPr>
          <w:rFonts w:hint="eastAsia"/>
        </w:rPr>
        <w:t>具有10平方米及以上的产品和食材检验室并具有检测设备及专业检测人员，或委托第三方检测机构检测且年度食材检测费用投入不少于5万。</w:t>
      </w:r>
    </w:p>
    <w:p>
      <w:pPr>
        <w:ind w:firstLine="420" w:firstLineChars="200"/>
        <w:rPr>
          <w:rFonts w:hint="eastAsia"/>
        </w:rPr>
      </w:pPr>
      <w:r>
        <w:rPr>
          <w:rFonts w:hint="eastAsia"/>
        </w:rPr>
        <w:t>注：自有检测的提供现场照片及相应设备的购置合同(或发票) 扫描件或影印件，能体现检验室面积的房产证等相关证明材料扫描件或影印件(标注清晰)，如房产属于租赁性质，需要提供租赁合同、房产证明材料，并且提供近三个月内(任意一个月即可) 的房租支付记录凭证，提供检测人员身份证、健康证、食品检验工证书及缴纳社保凭证（招标公示之日起一年内）。委托第三方检测的提供发票或转帐凭证证明材料，年度为2022年。</w:t>
      </w:r>
    </w:p>
    <w:p>
      <w:pPr>
        <w:ind w:firstLine="420" w:firstLineChars="200"/>
        <w:rPr>
          <w:rFonts w:hint="default" w:eastAsia="宋体"/>
          <w:lang w:val="en-US" w:eastAsia="zh-CN"/>
        </w:rPr>
      </w:pPr>
      <w:r>
        <w:rPr>
          <w:rFonts w:hint="eastAsia"/>
          <w:lang w:val="en-US" w:eastAsia="zh-CN"/>
        </w:rPr>
        <w:t>6</w:t>
      </w:r>
      <w:r>
        <w:rPr>
          <w:rFonts w:hint="eastAsia"/>
        </w:rPr>
        <w:t>、</w:t>
      </w:r>
      <w:r>
        <w:rPr>
          <w:rFonts w:hint="eastAsia"/>
          <w:lang w:val="en-US" w:eastAsia="zh-CN"/>
        </w:rPr>
        <w:t>体系认证</w:t>
      </w:r>
    </w:p>
    <w:p>
      <w:pPr>
        <w:ind w:firstLine="420" w:firstLineChars="200"/>
        <w:rPr>
          <w:rFonts w:hint="eastAsia"/>
        </w:rPr>
      </w:pPr>
      <w:r>
        <w:rPr>
          <w:rFonts w:hint="eastAsia"/>
        </w:rPr>
        <w:t>具有中国国家认证认可监督管理委员会认证机构颁发有效的</w:t>
      </w:r>
      <w:r>
        <w:rPr>
          <w:rFonts w:hint="eastAsia"/>
          <w:lang w:val="en-US" w:eastAsia="zh-CN"/>
        </w:rPr>
        <w:t>认证证书不少于5个</w:t>
      </w:r>
      <w:r>
        <w:rPr>
          <w:rFonts w:hint="eastAsia"/>
        </w:rPr>
        <w:t>。</w:t>
      </w:r>
    </w:p>
    <w:p>
      <w:pPr>
        <w:ind w:firstLine="420" w:firstLineChars="200"/>
      </w:pPr>
      <w:r>
        <w:rPr>
          <w:rFonts w:hint="eastAsia"/>
        </w:rPr>
        <w:t>注：投标文件中提供上述证书的扫描件，以及全国认证认可信息公共服务平台官网证书信息查询截图。</w:t>
      </w:r>
    </w:p>
    <w:p>
      <w:pPr>
        <w:topLinePunct/>
        <w:spacing w:line="340" w:lineRule="atLeast"/>
        <w:rPr>
          <w:rFonts w:ascii="Times New Roman" w:hAnsi="Times New Roman" w:eastAsia="黑体" w:cs="Times New Roman"/>
          <w:color w:val="auto"/>
          <w:sz w:val="24"/>
          <w:highlight w:val="none"/>
        </w:rPr>
      </w:pPr>
      <w:r>
        <w:rPr>
          <w:rFonts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ascii="Times New Roman" w:hAnsi="Times New Roman" w:eastAsia="黑体" w:cs="Times New Roman"/>
          <w:color w:val="auto"/>
          <w:sz w:val="28"/>
          <w:szCs w:val="28"/>
          <w:highlight w:val="none"/>
        </w:rPr>
      </w:pPr>
      <w:bookmarkStart w:id="227" w:name="_Toc26594_WPSOffice_Level1"/>
      <w:bookmarkStart w:id="228" w:name="_Toc12019_WPSOffice_Level1"/>
      <w:bookmarkStart w:id="229" w:name="_Toc27376_WPSOffice_Level1"/>
      <w:bookmarkStart w:id="230" w:name="_Toc27072_WPSOffice_Level1"/>
      <w:bookmarkStart w:id="231" w:name="_Toc5403_WPSOffice_Level1"/>
      <w:bookmarkStart w:id="232" w:name="_Toc5889_WPSOffice_Level1"/>
      <w:bookmarkStart w:id="233" w:name="_Toc3893_WPSOffice_Level1"/>
      <w:r>
        <w:rPr>
          <w:rFonts w:hint="eastAsia" w:ascii="Times New Roman" w:hAnsi="Times New Roman" w:eastAsia="黑体" w:cs="Times New Roman"/>
          <w:color w:val="auto"/>
          <w:sz w:val="28"/>
          <w:szCs w:val="28"/>
          <w:highlight w:val="none"/>
          <w:lang w:eastAsia="zh-CN"/>
        </w:rPr>
        <w:t>五</w:t>
      </w:r>
      <w:r>
        <w:rPr>
          <w:rFonts w:ascii="Times New Roman" w:hAnsi="Times New Roman" w:eastAsia="黑体" w:cs="Times New Roman"/>
          <w:color w:val="auto"/>
          <w:sz w:val="28"/>
          <w:szCs w:val="28"/>
          <w:highlight w:val="none"/>
        </w:rPr>
        <w:t>、信誉情况</w:t>
      </w:r>
      <w:bookmarkEnd w:id="227"/>
      <w:bookmarkEnd w:id="228"/>
      <w:bookmarkEnd w:id="229"/>
      <w:bookmarkEnd w:id="230"/>
      <w:bookmarkEnd w:id="231"/>
      <w:bookmarkEnd w:id="232"/>
      <w:bookmarkEnd w:id="233"/>
    </w:p>
    <w:p>
      <w:pPr>
        <w:topLinePunct/>
        <w:spacing w:line="440" w:lineRule="exact"/>
        <w:rPr>
          <w:rFonts w:ascii="Times New Roman" w:hAnsi="Times New Roman" w:cs="Times New Roman"/>
          <w:bCs/>
          <w:color w:val="auto"/>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项 目</w:t>
            </w:r>
          </w:p>
        </w:tc>
        <w:tc>
          <w:tcPr>
            <w:tcW w:w="4445" w:type="dxa"/>
          </w:tcPr>
          <w:p>
            <w:pPr>
              <w:topLinePunct/>
              <w:spacing w:line="440" w:lineRule="exact"/>
              <w:jc w:val="center"/>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是否被责令停业，暂扣或吊销执照，或吊销资质证书</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是否进入清算程序，或被宣告破产，或其他丧失履约能力的情形</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是否在近三年内（自响应文件递交截止之日向前追溯3年）供应商或其法定代表人、拟委任的项目经理（如有）有行贿犯罪行为</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auto"/>
                <w:sz w:val="24"/>
                <w:szCs w:val="28"/>
                <w:highlight w:val="none"/>
              </w:rPr>
            </w:pPr>
            <w:r>
              <w:rPr>
                <w:rFonts w:hint="eastAsia" w:ascii="Times New Roman" w:hAnsi="Times New Roman" w:cs="Times New Roman"/>
                <w:color w:val="auto"/>
                <w:sz w:val="24"/>
                <w:szCs w:val="28"/>
                <w:highlight w:val="none"/>
              </w:rPr>
              <w:t>在近三年内（自响应文件递交截止之日向前追溯3年）供应商与安徽交控集团所辖子公司、分公司、路段管理中心合作未有不良记录（不良记录包括但不限于考评不合格）</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auto"/>
                <w:sz w:val="24"/>
                <w:szCs w:val="28"/>
                <w:highlight w:val="none"/>
              </w:rPr>
            </w:pPr>
            <w:r>
              <w:rPr>
                <w:rFonts w:ascii="Times New Roman" w:hAnsi="Times New Roman" w:cs="Times New Roman"/>
                <w:color w:val="auto"/>
                <w:sz w:val="24"/>
                <w:szCs w:val="28"/>
                <w:highlight w:val="none"/>
              </w:rPr>
              <w:t>……</w:t>
            </w:r>
          </w:p>
        </w:tc>
        <w:tc>
          <w:tcPr>
            <w:tcW w:w="4445" w:type="dxa"/>
          </w:tcPr>
          <w:p>
            <w:pPr>
              <w:topLinePunct/>
              <w:spacing w:line="440" w:lineRule="exact"/>
              <w:rPr>
                <w:rFonts w:ascii="Times New Roman" w:hAnsi="Times New Roman" w:cs="Times New Roman"/>
                <w:bCs/>
                <w:color w:val="auto"/>
                <w:szCs w:val="21"/>
                <w:highlight w:val="none"/>
              </w:rPr>
            </w:pPr>
          </w:p>
        </w:tc>
      </w:tr>
    </w:tbl>
    <w:p>
      <w:pPr>
        <w:spacing w:line="440" w:lineRule="exact"/>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注：本表无需附证明材料。</w:t>
      </w:r>
    </w:p>
    <w:p>
      <w:pPr>
        <w:pStyle w:val="8"/>
        <w:jc w:val="right"/>
        <w:rPr>
          <w:rFonts w:ascii="Times New Roman" w:hAnsi="Times New Roman" w:cs="Times New Roman"/>
          <w:color w:val="auto"/>
          <w:sz w:val="24"/>
          <w:highlight w:val="none"/>
        </w:rPr>
      </w:pPr>
    </w:p>
    <w:p>
      <w:pPr>
        <w:spacing w:line="440" w:lineRule="exact"/>
        <w:jc w:val="righ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pStyle w:val="8"/>
        <w:jc w:val="right"/>
        <w:rPr>
          <w:rFonts w:ascii="Times New Roman" w:hAnsi="Times New Roman" w:cs="Times New Roman"/>
          <w:color w:val="auto"/>
          <w:highlight w:val="none"/>
          <w:u w:val="singl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pStyle w:val="8"/>
        <w:rPr>
          <w:rFonts w:ascii="Times New Roman" w:hAnsi="Times New Roman" w:cs="Times New Roman"/>
          <w:color w:val="auto"/>
          <w:highlight w:val="none"/>
        </w:rPr>
      </w:pPr>
    </w:p>
    <w:p>
      <w:pPr>
        <w:pStyle w:val="8"/>
        <w:spacing w:line="440" w:lineRule="exact"/>
        <w:rPr>
          <w:rFonts w:ascii="Times New Roman" w:hAnsi="Times New Roman" w:cs="Times New Roman"/>
          <w:color w:val="auto"/>
          <w:sz w:val="24"/>
          <w:highlight w:val="none"/>
        </w:rPr>
      </w:pPr>
    </w:p>
    <w:p>
      <w:pPr>
        <w:spacing w:line="400" w:lineRule="atLeast"/>
        <w:jc w:val="center"/>
        <w:rPr>
          <w:rFonts w:ascii="Times New Roman" w:hAnsi="Times New Roman" w:cs="Times New Roman"/>
          <w:color w:val="auto"/>
          <w:sz w:val="24"/>
          <w:highlight w:val="none"/>
        </w:rPr>
      </w:pPr>
      <w:r>
        <w:rPr>
          <w:rFonts w:ascii="Times New Roman" w:hAnsi="Times New Roman" w:eastAsia="黑体" w:cs="Times New Roman"/>
          <w:color w:val="auto"/>
          <w:sz w:val="27"/>
          <w:szCs w:val="27"/>
          <w:highlight w:val="none"/>
        </w:rPr>
        <w:br w:type="page"/>
      </w:r>
    </w:p>
    <w:p>
      <w:pPr>
        <w:spacing w:line="440" w:lineRule="exact"/>
        <w:jc w:val="center"/>
        <w:rPr>
          <w:rFonts w:ascii="Times New Roman" w:hAnsi="Times New Roman" w:eastAsia="黑体" w:cs="Times New Roman"/>
          <w:color w:val="auto"/>
          <w:sz w:val="28"/>
          <w:szCs w:val="28"/>
          <w:highlight w:val="none"/>
        </w:rPr>
      </w:pPr>
      <w:bookmarkStart w:id="234" w:name="_Toc22303_WPSOffice_Level1"/>
      <w:bookmarkStart w:id="235" w:name="_Toc2428_WPSOffice_Level1"/>
      <w:bookmarkStart w:id="236" w:name="_Toc8137_WPSOffice_Level1"/>
      <w:bookmarkStart w:id="237" w:name="_Toc13165_WPSOffice_Level1"/>
      <w:bookmarkStart w:id="238" w:name="_Toc31963_WPSOffice_Level1"/>
      <w:bookmarkStart w:id="239" w:name="_Toc27648_WPSOffice_Level1"/>
      <w:bookmarkStart w:id="240" w:name="_Toc19034_WPSOffice_Level1"/>
      <w:r>
        <w:rPr>
          <w:rFonts w:hint="eastAsia" w:ascii="Times New Roman" w:hAnsi="Times New Roman" w:eastAsia="黑体" w:cs="Times New Roman"/>
          <w:color w:val="auto"/>
          <w:sz w:val="28"/>
          <w:szCs w:val="28"/>
          <w:highlight w:val="none"/>
          <w:lang w:eastAsia="zh-CN"/>
        </w:rPr>
        <w:t>六</w:t>
      </w:r>
      <w:r>
        <w:rPr>
          <w:rFonts w:ascii="Times New Roman" w:hAnsi="Times New Roman" w:eastAsia="黑体" w:cs="Times New Roman"/>
          <w:color w:val="auto"/>
          <w:sz w:val="28"/>
          <w:szCs w:val="28"/>
          <w:highlight w:val="none"/>
        </w:rPr>
        <w:t>、其它</w:t>
      </w:r>
      <w:bookmarkEnd w:id="234"/>
      <w:r>
        <w:rPr>
          <w:rFonts w:ascii="Times New Roman" w:hAnsi="Times New Roman" w:eastAsia="黑体" w:cs="Times New Roman"/>
          <w:color w:val="auto"/>
          <w:sz w:val="28"/>
          <w:szCs w:val="28"/>
          <w:highlight w:val="none"/>
        </w:rPr>
        <w:t>材料</w:t>
      </w:r>
      <w:bookmarkEnd w:id="235"/>
      <w:bookmarkEnd w:id="236"/>
      <w:bookmarkEnd w:id="237"/>
      <w:bookmarkEnd w:id="238"/>
      <w:bookmarkEnd w:id="239"/>
      <w:bookmarkEnd w:id="240"/>
    </w:p>
    <w:p>
      <w:pPr>
        <w:pStyle w:val="26"/>
        <w:rPr>
          <w:rFonts w:hint="default" w:ascii="Times New Roman" w:hAnsi="Times New Roman"/>
          <w:color w:val="auto"/>
          <w:szCs w:val="28"/>
          <w:highlight w:val="none"/>
        </w:rPr>
      </w:pPr>
    </w:p>
    <w:p>
      <w:pPr>
        <w:pStyle w:val="26"/>
        <w:ind w:firstLine="420" w:firstLineChars="175"/>
        <w:rPr>
          <w:rFonts w:hint="default" w:ascii="Times New Roman" w:hAnsi="Times New Roman"/>
          <w:color w:val="auto"/>
          <w:szCs w:val="28"/>
          <w:highlight w:val="none"/>
        </w:rPr>
      </w:pPr>
      <w:r>
        <w:rPr>
          <w:rFonts w:hint="default" w:ascii="Times New Roman" w:hAnsi="Times New Roman"/>
          <w:color w:val="auto"/>
          <w:szCs w:val="28"/>
          <w:highlight w:val="none"/>
        </w:rPr>
        <w:t>响应保证金的银行凭证（电汇回单）复印件等。</w:t>
      </w:r>
    </w:p>
    <w:p>
      <w:pPr>
        <w:pStyle w:val="26"/>
        <w:ind w:firstLine="420" w:firstLineChars="175"/>
        <w:rPr>
          <w:rFonts w:hint="default" w:ascii="Times New Roman" w:hAnsi="Times New Roman"/>
          <w:color w:val="auto"/>
          <w:szCs w:val="28"/>
          <w:highlight w:val="none"/>
        </w:rPr>
      </w:pPr>
      <w:r>
        <w:rPr>
          <w:rFonts w:ascii="Times New Roman" w:hAnsi="Times New Roman"/>
          <w:color w:val="auto"/>
          <w:szCs w:val="28"/>
          <w:highlight w:val="none"/>
        </w:rPr>
        <w:t>包括但不限于：1.</w:t>
      </w:r>
      <w:r>
        <w:rPr>
          <w:rFonts w:hint="eastAsia" w:ascii="Times New Roman" w:hAnsi="Times New Roman"/>
          <w:color w:val="auto"/>
          <w:szCs w:val="28"/>
          <w:highlight w:val="none"/>
          <w:lang w:val="en-US" w:eastAsia="zh-CN"/>
        </w:rPr>
        <w:t>承诺函</w:t>
      </w:r>
      <w:r>
        <w:rPr>
          <w:rFonts w:ascii="Times New Roman" w:hAnsi="Times New Roman"/>
          <w:color w:val="auto"/>
          <w:szCs w:val="28"/>
          <w:highlight w:val="none"/>
        </w:rPr>
        <w:t>。</w:t>
      </w:r>
    </w:p>
    <w:p>
      <w:pPr>
        <w:pStyle w:val="8"/>
        <w:rPr>
          <w:rFonts w:ascii="Times New Roman" w:hAnsi="Times New Roman" w:cs="Times New Roman"/>
          <w:color w:val="auto"/>
          <w:highlight w:val="none"/>
        </w:rPr>
      </w:pPr>
    </w:p>
    <w:p>
      <w:pPr>
        <w:pStyle w:val="26"/>
        <w:rPr>
          <w:rFonts w:hint="default" w:ascii="Times New Roman" w:hAnsi="Times New Roman"/>
          <w:color w:val="auto"/>
          <w:szCs w:val="28"/>
          <w:highlight w:val="none"/>
        </w:rPr>
      </w:pPr>
    </w:p>
    <w:p>
      <w:pPr>
        <w:spacing w:line="400" w:lineRule="atLeast"/>
        <w:jc w:val="left"/>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pStyle w:val="4"/>
        <w:rPr>
          <w:rFonts w:ascii="Times New Roman" w:hAnsi="Times New Roman" w:cs="Times New Roman"/>
          <w:color w:val="auto"/>
          <w:highlight w:val="none"/>
        </w:rPr>
      </w:pPr>
    </w:p>
    <w:p>
      <w:pPr>
        <w:rPr>
          <w:rFonts w:ascii="Times New Roman" w:hAnsi="Times New Roman" w:cs="Times New Roman"/>
          <w:color w:val="auto"/>
          <w:highlight w:val="none"/>
        </w:rPr>
      </w:pPr>
    </w:p>
    <w:p>
      <w:pPr>
        <w:rPr>
          <w:color w:val="auto"/>
          <w:highlight w:val="none"/>
        </w:rPr>
      </w:pPr>
    </w:p>
    <w:p>
      <w:pPr>
        <w:jc w:val="center"/>
        <w:rPr>
          <w:rFonts w:hint="eastAsia" w:hAnsi="宋体"/>
          <w:b/>
          <w:color w:val="auto"/>
          <w:sz w:val="44"/>
          <w:szCs w:val="44"/>
          <w:highlight w:val="none"/>
          <w:lang w:val="en-US" w:eastAsia="zh-CN"/>
        </w:rPr>
      </w:pPr>
    </w:p>
    <w:p>
      <w:pPr>
        <w:jc w:val="center"/>
        <w:rPr>
          <w:rFonts w:hint="eastAsia" w:hAnsi="宋体"/>
          <w:b/>
          <w:color w:val="auto"/>
          <w:sz w:val="44"/>
          <w:szCs w:val="44"/>
          <w:highlight w:val="none"/>
          <w:lang w:val="en-US" w:eastAsia="zh-CN"/>
        </w:rPr>
      </w:pPr>
    </w:p>
    <w:p>
      <w:pPr>
        <w:jc w:val="center"/>
        <w:rPr>
          <w:rFonts w:hint="eastAsia" w:hAnsi="宋体"/>
          <w:b/>
          <w:color w:val="auto"/>
          <w:sz w:val="44"/>
          <w:szCs w:val="44"/>
          <w:highlight w:val="none"/>
          <w:lang w:val="en-US" w:eastAsia="zh-CN"/>
        </w:rPr>
      </w:pPr>
      <w:r>
        <w:rPr>
          <w:rFonts w:hint="eastAsia" w:hAnsi="宋体"/>
          <w:b/>
          <w:color w:val="auto"/>
          <w:sz w:val="44"/>
          <w:szCs w:val="44"/>
          <w:highlight w:val="none"/>
          <w:lang w:val="en-US" w:eastAsia="zh-CN"/>
        </w:rPr>
        <w:t>承诺函</w:t>
      </w:r>
    </w:p>
    <w:p>
      <w:pPr>
        <w:pStyle w:val="4"/>
        <w:ind w:firstLine="600" w:firstLineChars="200"/>
        <w:rPr>
          <w:rFonts w:hint="eastAsia" w:eastAsia="方正仿宋_GB2312" w:asciiTheme="minorHAnsi" w:hAnsiTheme="minorHAnsi"/>
          <w:b w:val="0"/>
          <w:bCs w:val="0"/>
          <w:color w:val="auto"/>
          <w:sz w:val="30"/>
          <w:szCs w:val="30"/>
          <w:highlight w:val="none"/>
          <w:lang w:val="en-US" w:eastAsia="zh-CN"/>
        </w:rPr>
      </w:pPr>
    </w:p>
    <w:p>
      <w:pPr>
        <w:pStyle w:val="4"/>
        <w:ind w:firstLine="600" w:firstLineChars="200"/>
        <w:rPr>
          <w:rFonts w:hint="eastAsia" w:eastAsia="方正仿宋_GB2312" w:asciiTheme="minorHAnsi" w:hAnsiTheme="minorHAnsi"/>
          <w:b w:val="0"/>
          <w:bCs w:val="0"/>
          <w:color w:val="auto"/>
          <w:sz w:val="30"/>
          <w:szCs w:val="30"/>
          <w:highlight w:val="none"/>
          <w:lang w:val="en-US" w:eastAsia="zh-CN"/>
        </w:rPr>
      </w:pPr>
      <w:r>
        <w:rPr>
          <w:rFonts w:hint="eastAsia" w:eastAsia="方正仿宋_GB2312" w:asciiTheme="minorHAnsi" w:hAnsiTheme="minorHAnsi"/>
          <w:b w:val="0"/>
          <w:bCs w:val="0"/>
          <w:color w:val="auto"/>
          <w:sz w:val="30"/>
          <w:szCs w:val="30"/>
          <w:highlight w:val="none"/>
          <w:lang w:val="en-US" w:eastAsia="zh-CN"/>
        </w:rPr>
        <w:t>至：安徽高速公路服务区经营管理有限公司</w:t>
      </w:r>
    </w:p>
    <w:p>
      <w:pPr>
        <w:ind w:firstLine="600" w:firstLineChars="200"/>
        <w:rPr>
          <w:rFonts w:hint="eastAsia" w:eastAsia="方正仿宋_GB2312"/>
          <w:color w:val="auto"/>
          <w:sz w:val="30"/>
          <w:szCs w:val="30"/>
          <w:highlight w:val="none"/>
          <w:u w:val="single"/>
        </w:rPr>
      </w:pPr>
      <w:r>
        <w:rPr>
          <w:rFonts w:hint="eastAsia" w:eastAsia="方正仿宋_GB2312"/>
          <w:color w:val="auto"/>
          <w:sz w:val="30"/>
          <w:szCs w:val="30"/>
          <w:highlight w:val="none"/>
          <w:lang w:val="en-US" w:eastAsia="zh-CN"/>
        </w:rPr>
        <w:t>为响应你方组织的</w:t>
      </w:r>
      <w:r>
        <w:rPr>
          <w:rFonts w:hint="eastAsia" w:eastAsia="方正仿宋_GB2312"/>
          <w:color w:val="auto"/>
          <w:sz w:val="30"/>
          <w:szCs w:val="30"/>
          <w:highlight w:val="none"/>
          <w:u w:val="single"/>
        </w:rPr>
        <w:t>驿达公司餐饮原辅材料采购供应商入库</w:t>
      </w:r>
    </w:p>
    <w:p>
      <w:pPr>
        <w:ind w:firstLine="0" w:firstLineChars="0"/>
        <w:rPr>
          <w:rFonts w:hint="eastAsia" w:eastAsia="方正仿宋_GB2312"/>
          <w:color w:val="auto"/>
          <w:sz w:val="30"/>
          <w:szCs w:val="30"/>
          <w:highlight w:val="none"/>
          <w:lang w:val="en-US" w:eastAsia="zh-CN"/>
        </w:rPr>
      </w:pPr>
      <w:r>
        <w:rPr>
          <w:rFonts w:hint="eastAsia" w:eastAsia="方正仿宋_GB2312"/>
          <w:color w:val="auto"/>
          <w:sz w:val="30"/>
          <w:szCs w:val="30"/>
          <w:highlight w:val="none"/>
          <w:u w:val="single"/>
        </w:rPr>
        <w:t>项目（</w:t>
      </w:r>
      <w:r>
        <w:rPr>
          <w:rFonts w:hint="eastAsia" w:eastAsia="方正仿宋_GB2312"/>
          <w:color w:val="auto"/>
          <w:sz w:val="30"/>
          <w:szCs w:val="30"/>
          <w:highlight w:val="none"/>
          <w:u w:val="single"/>
          <w:lang w:val="en-US" w:eastAsia="zh-CN"/>
        </w:rPr>
        <w:t>2024年</w:t>
      </w:r>
      <w:r>
        <w:rPr>
          <w:rFonts w:hint="eastAsia" w:eastAsia="方正仿宋_GB2312"/>
          <w:color w:val="auto"/>
          <w:sz w:val="30"/>
          <w:szCs w:val="30"/>
          <w:highlight w:val="none"/>
          <w:u w:val="single"/>
        </w:rPr>
        <w:t>第一次公开询比）</w:t>
      </w:r>
      <w:r>
        <w:rPr>
          <w:rFonts w:hint="eastAsia" w:eastAsia="方正仿宋_GB2312"/>
          <w:color w:val="auto"/>
          <w:sz w:val="30"/>
          <w:szCs w:val="30"/>
          <w:highlight w:val="none"/>
          <w:u w:val="single"/>
          <w:lang w:eastAsia="zh-CN"/>
        </w:rPr>
        <w:t>（</w:t>
      </w:r>
      <w:r>
        <w:rPr>
          <w:rFonts w:hint="eastAsia" w:eastAsia="方正仿宋_GB2312"/>
          <w:color w:val="auto"/>
          <w:sz w:val="30"/>
          <w:szCs w:val="30"/>
          <w:highlight w:val="none"/>
        </w:rPr>
        <w:t>编号：YDCYYCL-0</w:t>
      </w: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lang w:eastAsia="zh-CN"/>
        </w:rPr>
        <w:t>），我方在参与投标前已详细研究了招标文件的所有内容，</w:t>
      </w:r>
      <w:r>
        <w:rPr>
          <w:rFonts w:hint="eastAsia" w:eastAsia="方正仿宋_GB2312"/>
          <w:color w:val="auto"/>
          <w:sz w:val="30"/>
          <w:szCs w:val="30"/>
          <w:highlight w:val="none"/>
          <w:lang w:val="en-US" w:eastAsia="zh-CN"/>
        </w:rPr>
        <w:t>若我单位中标，郑重承诺：</w:t>
      </w:r>
    </w:p>
    <w:p>
      <w:pPr>
        <w:pStyle w:val="4"/>
        <w:numPr>
          <w:ilvl w:val="-1"/>
          <w:numId w:val="0"/>
        </w:numPr>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一、我单位</w:t>
      </w:r>
      <w:r>
        <w:rPr>
          <w:rFonts w:hint="eastAsia" w:eastAsia="方正仿宋_GB2312"/>
          <w:color w:val="auto"/>
          <w:sz w:val="30"/>
          <w:szCs w:val="30"/>
          <w:highlight w:val="none"/>
        </w:rPr>
        <w:t>承诺食品安全责任险到期后继续购买针对本项目食材的食品安全责任保险</w:t>
      </w:r>
      <w:r>
        <w:rPr>
          <w:rFonts w:hint="eastAsia" w:eastAsia="方正仿宋_GB2312"/>
          <w:color w:val="auto"/>
          <w:sz w:val="30"/>
          <w:szCs w:val="30"/>
          <w:highlight w:val="none"/>
          <w:lang w:eastAsia="zh-CN"/>
        </w:rPr>
        <w:t>。</w:t>
      </w:r>
    </w:p>
    <w:p>
      <w:pPr>
        <w:pStyle w:val="4"/>
        <w:numPr>
          <w:ilvl w:val="0"/>
          <w:numId w:val="0"/>
        </w:numPr>
        <w:ind w:firstLine="600" w:firstLineChars="200"/>
        <w:rPr>
          <w:rFonts w:hint="eastAsia"/>
          <w:color w:val="auto"/>
          <w:highlight w:val="none"/>
          <w:lang w:eastAsia="zh-CN"/>
        </w:rPr>
      </w:pPr>
      <w:r>
        <w:rPr>
          <w:rFonts w:hint="eastAsia" w:eastAsia="方正仿宋_GB2312"/>
          <w:color w:val="auto"/>
          <w:sz w:val="30"/>
          <w:szCs w:val="30"/>
          <w:highlight w:val="none"/>
          <w:lang w:eastAsia="zh-CN"/>
        </w:rPr>
        <w:t>二、若达成合作后，我单位承诺</w:t>
      </w:r>
      <w:r>
        <w:rPr>
          <w:rFonts w:hint="eastAsia" w:eastAsia="方正仿宋_GB2312"/>
          <w:color w:val="auto"/>
          <w:sz w:val="30"/>
          <w:szCs w:val="30"/>
          <w:highlight w:val="none"/>
          <w:lang w:val="en-US" w:eastAsia="zh-CN"/>
        </w:rPr>
        <w:t>做好质量管控，</w:t>
      </w:r>
      <w:r>
        <w:rPr>
          <w:rFonts w:hint="eastAsia" w:eastAsia="方正仿宋_GB2312"/>
          <w:color w:val="auto"/>
          <w:sz w:val="30"/>
          <w:szCs w:val="30"/>
          <w:highlight w:val="none"/>
          <w:lang w:eastAsia="zh-CN"/>
        </w:rPr>
        <w:t>提高服务</w:t>
      </w:r>
      <w:r>
        <w:rPr>
          <w:rFonts w:hint="eastAsia" w:eastAsia="方正仿宋_GB2312"/>
          <w:color w:val="auto"/>
          <w:sz w:val="30"/>
          <w:szCs w:val="30"/>
          <w:highlight w:val="none"/>
          <w:lang w:val="en-US" w:eastAsia="zh-CN"/>
        </w:rPr>
        <w:t>品质</w:t>
      </w:r>
      <w:r>
        <w:rPr>
          <w:rFonts w:hint="eastAsia" w:eastAsia="方正仿宋_GB2312"/>
          <w:color w:val="auto"/>
          <w:sz w:val="30"/>
          <w:szCs w:val="30"/>
          <w:highlight w:val="none"/>
          <w:lang w:eastAsia="zh-CN"/>
        </w:rPr>
        <w:t>。</w:t>
      </w:r>
    </w:p>
    <w:p>
      <w:pPr>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eastAsia="zh-CN"/>
        </w:rPr>
        <w:t>若我单位有违反本承诺内容行为，愿意承担相关责任，包含：贵公司有权终止合作，并没收履约保证金；未来</w:t>
      </w:r>
      <w:r>
        <w:rPr>
          <w:rFonts w:hint="eastAsia" w:eastAsia="方正仿宋_GB2312"/>
          <w:color w:val="auto"/>
          <w:sz w:val="30"/>
          <w:szCs w:val="30"/>
          <w:highlight w:val="none"/>
          <w:lang w:val="en-US" w:eastAsia="zh-CN"/>
        </w:rPr>
        <w:t>3年我单位无权</w:t>
      </w:r>
      <w:r>
        <w:rPr>
          <w:rFonts w:hint="eastAsia" w:eastAsia="方正仿宋_GB2312"/>
          <w:color w:val="auto"/>
          <w:sz w:val="30"/>
          <w:szCs w:val="30"/>
          <w:highlight w:val="none"/>
        </w:rPr>
        <w:t>参与</w:t>
      </w:r>
      <w:r>
        <w:rPr>
          <w:rFonts w:hint="eastAsia" w:eastAsia="方正仿宋_GB2312"/>
          <w:color w:val="auto"/>
          <w:sz w:val="30"/>
          <w:szCs w:val="30"/>
          <w:highlight w:val="none"/>
          <w:lang w:val="en-US" w:eastAsia="zh-CN"/>
        </w:rPr>
        <w:t>贵</w:t>
      </w:r>
      <w:r>
        <w:rPr>
          <w:rFonts w:hint="eastAsia" w:eastAsia="方正仿宋_GB2312"/>
          <w:color w:val="auto"/>
          <w:sz w:val="30"/>
          <w:szCs w:val="30"/>
          <w:highlight w:val="none"/>
        </w:rPr>
        <w:t>公司类似项目的招标</w:t>
      </w:r>
      <w:r>
        <w:rPr>
          <w:rFonts w:hint="eastAsia" w:eastAsia="方正仿宋_GB2312"/>
          <w:color w:val="auto"/>
          <w:sz w:val="30"/>
          <w:szCs w:val="30"/>
          <w:highlight w:val="none"/>
          <w:lang w:eastAsia="zh-CN"/>
        </w:rPr>
        <w:t>。</w:t>
      </w:r>
    </w:p>
    <w:p>
      <w:pPr>
        <w:pStyle w:val="4"/>
        <w:rPr>
          <w:rFonts w:hint="eastAsia" w:eastAsia="方正仿宋_GB2312"/>
          <w:color w:val="auto"/>
          <w:sz w:val="30"/>
          <w:szCs w:val="30"/>
          <w:highlight w:val="none"/>
          <w:lang w:eastAsia="zh-CN"/>
        </w:rPr>
      </w:pPr>
    </w:p>
    <w:p>
      <w:pPr>
        <w:rPr>
          <w:rFonts w:hint="eastAsia" w:eastAsia="方正仿宋_GB2312"/>
          <w:color w:val="auto"/>
          <w:sz w:val="30"/>
          <w:szCs w:val="30"/>
          <w:highlight w:val="none"/>
          <w:lang w:eastAsia="zh-CN"/>
        </w:rPr>
      </w:pPr>
    </w:p>
    <w:p>
      <w:pPr>
        <w:pStyle w:val="4"/>
        <w:jc w:val="center"/>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 xml:space="preserve">                                </w:t>
      </w:r>
      <w:r>
        <w:rPr>
          <w:rFonts w:hint="eastAsia" w:eastAsia="方正仿宋_GB2312"/>
          <w:color w:val="auto"/>
          <w:sz w:val="30"/>
          <w:szCs w:val="30"/>
          <w:highlight w:val="none"/>
          <w:lang w:eastAsia="zh-CN"/>
        </w:rPr>
        <w:t>投标人（盖章）：</w:t>
      </w:r>
    </w:p>
    <w:p>
      <w:pPr>
        <w:jc w:val="right"/>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法定代表人（签章）：</w:t>
      </w:r>
    </w:p>
    <w:p>
      <w:pPr>
        <w:pStyle w:val="4"/>
        <w:ind w:firstLine="5400" w:firstLineChars="1800"/>
        <w:jc w:val="both"/>
        <w:rPr>
          <w:rFonts w:hint="default"/>
          <w:color w:val="auto"/>
          <w:highlight w:val="none"/>
          <w:lang w:val="en-US" w:eastAsia="zh-CN"/>
        </w:rPr>
      </w:pPr>
      <w:r>
        <w:rPr>
          <w:rFonts w:hint="eastAsia" w:eastAsia="方正仿宋_GB2312"/>
          <w:color w:val="auto"/>
          <w:sz w:val="30"/>
          <w:szCs w:val="30"/>
          <w:highlight w:val="none"/>
          <w:lang w:val="en-US" w:eastAsia="zh-CN"/>
        </w:rPr>
        <w:t>年  月  日</w:t>
      </w:r>
    </w:p>
    <w:p>
      <w:pPr>
        <w:rPr>
          <w:rFonts w:hint="eastAsia" w:eastAsiaTheme="minorEastAsia"/>
          <w:color w:val="auto"/>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3"/>
                            </w:rPr>
                            <w:instrText xml:space="preserve"> PAGE </w:instrText>
                          </w:r>
                          <w:r>
                            <w:fldChar w:fldCharType="separate"/>
                          </w:r>
                          <w:r>
                            <w:rPr>
                              <w:rStyle w:val="23"/>
                            </w:rPr>
                            <w:t>33</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3"/>
                      </w:rPr>
                      <w:instrText xml:space="preserve"> PAGE </w:instrText>
                    </w:r>
                    <w:r>
                      <w:fldChar w:fldCharType="separate"/>
                    </w:r>
                    <w:r>
                      <w:rPr>
                        <w:rStyle w:val="23"/>
                      </w:rPr>
                      <w:t>33</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B564AC"/>
    <w:multiLevelType w:val="singleLevel"/>
    <w:tmpl w:val="B6B564AC"/>
    <w:lvl w:ilvl="0" w:tentative="0">
      <w:start w:val="5"/>
      <w:numFmt w:val="chineseCounting"/>
      <w:suff w:val="space"/>
      <w:lvlText w:val="第%1章"/>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mU0MjVhYmFhMjY3ZjcxMWY2Mjg4NjNiMzM1MTc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795D88"/>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A34D8C"/>
    <w:rsid w:val="18A748DF"/>
    <w:rsid w:val="18A95B97"/>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D23889"/>
    <w:rsid w:val="19E97CC7"/>
    <w:rsid w:val="19F0265A"/>
    <w:rsid w:val="19FA5475"/>
    <w:rsid w:val="19FC6A1D"/>
    <w:rsid w:val="1A110767"/>
    <w:rsid w:val="1A1964F4"/>
    <w:rsid w:val="1A22307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A639E"/>
    <w:rsid w:val="1F8132C8"/>
    <w:rsid w:val="1F84003F"/>
    <w:rsid w:val="1F84634A"/>
    <w:rsid w:val="1F9A0EC5"/>
    <w:rsid w:val="1FA02744"/>
    <w:rsid w:val="1FAC011C"/>
    <w:rsid w:val="1FAE155C"/>
    <w:rsid w:val="1FC24714"/>
    <w:rsid w:val="1FCB3278"/>
    <w:rsid w:val="1FCC22E5"/>
    <w:rsid w:val="1FCC3990"/>
    <w:rsid w:val="200A6703"/>
    <w:rsid w:val="200C298F"/>
    <w:rsid w:val="202303A0"/>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773C65"/>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4FF0B9F"/>
    <w:rsid w:val="25073DFB"/>
    <w:rsid w:val="250B71FB"/>
    <w:rsid w:val="25167458"/>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12297"/>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97631D"/>
    <w:rsid w:val="2A983CC8"/>
    <w:rsid w:val="2AB4054B"/>
    <w:rsid w:val="2AB64A15"/>
    <w:rsid w:val="2AB843C9"/>
    <w:rsid w:val="2AC744E6"/>
    <w:rsid w:val="2AD307BD"/>
    <w:rsid w:val="2AF05EF0"/>
    <w:rsid w:val="2AFB2E5C"/>
    <w:rsid w:val="2AFB7D46"/>
    <w:rsid w:val="2AFE46B0"/>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7F046A"/>
    <w:rsid w:val="2F917E15"/>
    <w:rsid w:val="2F9D284F"/>
    <w:rsid w:val="2FA70B41"/>
    <w:rsid w:val="2FAA6FB7"/>
    <w:rsid w:val="2FAE780E"/>
    <w:rsid w:val="2FB05185"/>
    <w:rsid w:val="2FC42573"/>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73BFB"/>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CC536B"/>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0D7722"/>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D0A22D5"/>
    <w:rsid w:val="3D0B5F2D"/>
    <w:rsid w:val="3D114B5C"/>
    <w:rsid w:val="3D13167F"/>
    <w:rsid w:val="3D193B16"/>
    <w:rsid w:val="3D266669"/>
    <w:rsid w:val="3D307E17"/>
    <w:rsid w:val="3D375A42"/>
    <w:rsid w:val="3D3F2810"/>
    <w:rsid w:val="3D422CED"/>
    <w:rsid w:val="3D484D37"/>
    <w:rsid w:val="3D495DF7"/>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81F2A"/>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CC28E0"/>
    <w:rsid w:val="42E2679D"/>
    <w:rsid w:val="42E32BF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936FC5"/>
    <w:rsid w:val="489414DE"/>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63AD0"/>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4286F"/>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71567"/>
    <w:rsid w:val="51883031"/>
    <w:rsid w:val="51897721"/>
    <w:rsid w:val="518F4D7D"/>
    <w:rsid w:val="519667AD"/>
    <w:rsid w:val="51973EE4"/>
    <w:rsid w:val="51A84D41"/>
    <w:rsid w:val="51AA2482"/>
    <w:rsid w:val="51B1317F"/>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F257C"/>
    <w:rsid w:val="55DF79E5"/>
    <w:rsid w:val="55E81EDA"/>
    <w:rsid w:val="55EB6378"/>
    <w:rsid w:val="55FC0E2B"/>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71C12"/>
    <w:rsid w:val="671C012D"/>
    <w:rsid w:val="672E507D"/>
    <w:rsid w:val="673936D7"/>
    <w:rsid w:val="67496BCE"/>
    <w:rsid w:val="67517AFA"/>
    <w:rsid w:val="676C58B2"/>
    <w:rsid w:val="67755B9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1F76C2"/>
    <w:rsid w:val="6C283176"/>
    <w:rsid w:val="6C372744"/>
    <w:rsid w:val="6C4E1244"/>
    <w:rsid w:val="6C5B6EEC"/>
    <w:rsid w:val="6C5D2D2B"/>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290E8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a9a6cb-a1f7-4b84-9373-2edd644339ae}"/>
        <w:style w:val=""/>
        <w:category>
          <w:name w:val="常规"/>
          <w:gallery w:val="placeholder"/>
        </w:category>
        <w:types>
          <w:type w:val="bbPlcHdr"/>
        </w:types>
        <w:behaviors>
          <w:behavior w:val="content"/>
        </w:behaviors>
        <w:description w:val=""/>
        <w:guid w:val="{C8A9A6CB-A1F7-4B84-9373-2EDD644339AE}"/>
      </w:docPartPr>
      <w:docPartBody>
        <w:p>
          <w:r>
            <w:rPr>
              <w:color w:val="808080"/>
            </w:rPr>
            <w:t>单击此处输入文字。</w:t>
          </w:r>
        </w:p>
      </w:docPartBody>
    </w:docPart>
    <w:docPart>
      <w:docPartPr>
        <w:name w:val="{7fdad3b4-9ee4-4e80-9d97-80df2dbca69a}"/>
        <w:style w:val=""/>
        <w:category>
          <w:name w:val="常规"/>
          <w:gallery w:val="placeholder"/>
        </w:category>
        <w:types>
          <w:type w:val="bbPlcHdr"/>
        </w:types>
        <w:behaviors>
          <w:behavior w:val="content"/>
        </w:behaviors>
        <w:description w:val=""/>
        <w:guid w:val="{7FDAD3B4-9EE4-4E80-9D97-80DF2DBCA69A}"/>
      </w:docPartPr>
      <w:docPartBody>
        <w:p>
          <w:r>
            <w:rPr>
              <w:color w:val="808080"/>
            </w:rPr>
            <w:t>单击此处输入文字。</w:t>
          </w:r>
        </w:p>
      </w:docPartBody>
    </w:docPart>
    <w:docPart>
      <w:docPartPr>
        <w:name w:val="{788027fb-b3e0-4a85-bc38-de37ec7652d7}"/>
        <w:style w:val=""/>
        <w:category>
          <w:name w:val="常规"/>
          <w:gallery w:val="placeholder"/>
        </w:category>
        <w:types>
          <w:type w:val="bbPlcHdr"/>
        </w:types>
        <w:behaviors>
          <w:behavior w:val="content"/>
        </w:behaviors>
        <w:description w:val=""/>
        <w:guid w:val="{788027FB-B3E0-4A85-BC38-DE37EC7652D7}"/>
      </w:docPartPr>
      <w:docPartBody>
        <w:p>
          <w:r>
            <w:rPr>
              <w:color w:val="808080"/>
            </w:rPr>
            <w:t>单击此处输入文字。</w:t>
          </w:r>
        </w:p>
      </w:docPartBody>
    </w:docPart>
    <w:docPart>
      <w:docPartPr>
        <w:name w:val="{fcc751fe-a6d2-4ea6-b727-fa1a4c8b03a0}"/>
        <w:style w:val=""/>
        <w:category>
          <w:name w:val="常规"/>
          <w:gallery w:val="placeholder"/>
        </w:category>
        <w:types>
          <w:type w:val="bbPlcHdr"/>
        </w:types>
        <w:behaviors>
          <w:behavior w:val="content"/>
        </w:behaviors>
        <w:description w:val=""/>
        <w:guid w:val="{FCC751FE-A6D2-4EA6-B727-FA1A4C8B03A0}"/>
      </w:docPartPr>
      <w:docPartBody>
        <w:p>
          <w:r>
            <w:rPr>
              <w:color w:val="808080"/>
            </w:rPr>
            <w:t>单击此处输入文字。</w:t>
          </w:r>
        </w:p>
      </w:docPartBody>
    </w:docPart>
    <w:docPart>
      <w:docPartPr>
        <w:name w:val="{e17d51cb-b056-41c8-bdce-39a68f953c19}"/>
        <w:style w:val=""/>
        <w:category>
          <w:name w:val="常规"/>
          <w:gallery w:val="placeholder"/>
        </w:category>
        <w:types>
          <w:type w:val="bbPlcHdr"/>
        </w:types>
        <w:behaviors>
          <w:behavior w:val="content"/>
        </w:behaviors>
        <w:description w:val=""/>
        <w:guid w:val="{E17D51CB-B056-41C8-BDCE-39A68F953C19}"/>
      </w:docPartPr>
      <w:docPartBody>
        <w:p>
          <w:r>
            <w:rPr>
              <w:color w:val="808080"/>
            </w:rPr>
            <w:t>单击此处输入文字。</w:t>
          </w:r>
        </w:p>
      </w:docPartBody>
    </w:docPart>
    <w:docPart>
      <w:docPartPr>
        <w:name w:val="{3e07b888-124e-431c-87b5-4e5e31b77fc3}"/>
        <w:style w:val=""/>
        <w:category>
          <w:name w:val="常规"/>
          <w:gallery w:val="placeholder"/>
        </w:category>
        <w:types>
          <w:type w:val="bbPlcHdr"/>
        </w:types>
        <w:behaviors>
          <w:behavior w:val="content"/>
        </w:behaviors>
        <w:description w:val=""/>
        <w:guid w:val="{3E07B888-124E-431C-87B5-4E5E31B77F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D5648"/>
    <w:rsid w:val="006D5648"/>
    <w:rsid w:val="0085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8882</Words>
  <Characters>9668</Characters>
  <Lines>125</Lines>
  <Paragraphs>35</Paragraphs>
  <TotalTime>104</TotalTime>
  <ScaleCrop>false</ScaleCrop>
  <LinksUpToDate>false</LinksUpToDate>
  <CharactersWithSpaces>10922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叶文彬</cp:lastModifiedBy>
  <cp:lastPrinted>2023-05-19T03:42:00Z</cp:lastPrinted>
  <dcterms:modified xsi:type="dcterms:W3CDTF">2024-06-11T06:56:36Z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0F3A8DBCF8504E609CF3A250A69ACF46_13</vt:lpwstr>
  </property>
</Properties>
</file>