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FC5F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安徽驿佳商贸有限公司连锁门店</w:t>
      </w:r>
      <w:r>
        <w:rPr>
          <w:rFonts w:hint="eastAsia" w:ascii="方正小标宋_GBK" w:hAnsi="方正小标宋_GBK" w:eastAsia="方正小标宋_GBK" w:cs="方正小标宋_GBK"/>
          <w:color w:val="auto"/>
          <w:sz w:val="44"/>
          <w:szCs w:val="44"/>
          <w:highlight w:val="none"/>
          <w:lang w:val="en-US" w:eastAsia="zh-CN"/>
        </w:rPr>
        <w:t>2026年</w:t>
      </w:r>
    </w:p>
    <w:p w14:paraId="1BD564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Times New Roman"/>
          <w:color w:val="auto"/>
          <w:sz w:val="40"/>
          <w:szCs w:val="40"/>
          <w:highlight w:val="none"/>
          <w:lang w:eastAsia="zh-CN"/>
        </w:rPr>
      </w:pPr>
      <w:r>
        <w:rPr>
          <w:rFonts w:hint="eastAsia" w:ascii="方正小标宋_GBK" w:hAnsi="方正小标宋_GBK" w:eastAsia="方正小标宋_GBK" w:cs="方正小标宋_GBK"/>
          <w:color w:val="auto"/>
          <w:sz w:val="44"/>
          <w:szCs w:val="44"/>
          <w:highlight w:val="none"/>
        </w:rPr>
        <w:t>商品引进招商公告</w:t>
      </w: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lang w:val="en-US" w:eastAsia="zh-CN"/>
        </w:rPr>
        <w:t>第三期</w:t>
      </w:r>
      <w:r>
        <w:rPr>
          <w:rFonts w:hint="eastAsia" w:ascii="方正小标宋_GBK" w:hAnsi="方正小标宋_GBK" w:eastAsia="方正小标宋_GBK" w:cs="方正小标宋_GBK"/>
          <w:color w:val="auto"/>
          <w:sz w:val="44"/>
          <w:szCs w:val="44"/>
          <w:highlight w:val="none"/>
          <w:lang w:eastAsia="zh-CN"/>
        </w:rPr>
        <w:t>）</w:t>
      </w:r>
    </w:p>
    <w:p w14:paraId="5686AA64">
      <w:pPr>
        <w:spacing w:line="440" w:lineRule="exact"/>
        <w:jc w:val="center"/>
        <w:rPr>
          <w:rFonts w:ascii="Times New Roman" w:hAnsi="Times New Roman" w:eastAsia="黑体" w:cs="Times New Roman"/>
          <w:color w:val="auto"/>
          <w:sz w:val="40"/>
          <w:szCs w:val="40"/>
          <w:highlight w:val="none"/>
        </w:rPr>
      </w:pPr>
    </w:p>
    <w:p w14:paraId="4DAA2B2D">
      <w:pPr>
        <w:spacing w:line="440" w:lineRule="exact"/>
        <w:jc w:val="center"/>
        <w:rPr>
          <w:rFonts w:ascii="Times New Roman" w:hAnsi="Times New Roman" w:eastAsia="黑体" w:cs="Times New Roman"/>
          <w:color w:val="auto"/>
          <w:sz w:val="40"/>
          <w:szCs w:val="40"/>
          <w:highlight w:val="none"/>
        </w:rPr>
      </w:pPr>
    </w:p>
    <w:p w14:paraId="677BC7E7">
      <w:pPr>
        <w:spacing w:line="440" w:lineRule="exact"/>
        <w:jc w:val="center"/>
        <w:rPr>
          <w:rFonts w:ascii="Times New Roman" w:hAnsi="Times New Roman" w:eastAsia="黑体" w:cs="Times New Roman"/>
          <w:color w:val="auto"/>
          <w:sz w:val="40"/>
          <w:szCs w:val="40"/>
          <w:highlight w:val="none"/>
        </w:rPr>
      </w:pPr>
    </w:p>
    <w:p w14:paraId="239F0A97">
      <w:pPr>
        <w:spacing w:line="440" w:lineRule="exact"/>
        <w:jc w:val="center"/>
        <w:rPr>
          <w:rFonts w:ascii="Times New Roman" w:hAnsi="Times New Roman" w:eastAsia="黑体" w:cs="Times New Roman"/>
          <w:color w:val="auto"/>
          <w:sz w:val="40"/>
          <w:szCs w:val="40"/>
          <w:highlight w:val="none"/>
        </w:rPr>
      </w:pPr>
    </w:p>
    <w:p w14:paraId="760FF0AA">
      <w:pPr>
        <w:spacing w:line="440" w:lineRule="exact"/>
        <w:jc w:val="center"/>
        <w:rPr>
          <w:rFonts w:ascii="Times New Roman" w:hAnsi="Times New Roman" w:eastAsia="黑体" w:cs="Times New Roman"/>
          <w:color w:val="auto"/>
          <w:sz w:val="40"/>
          <w:szCs w:val="40"/>
          <w:highlight w:val="none"/>
        </w:rPr>
      </w:pPr>
    </w:p>
    <w:p w14:paraId="22055CC9">
      <w:pPr>
        <w:spacing w:line="440" w:lineRule="exact"/>
        <w:jc w:val="center"/>
        <w:rPr>
          <w:rFonts w:ascii="Times New Roman" w:hAnsi="Times New Roman" w:eastAsia="黑体" w:cs="Times New Roman"/>
          <w:color w:val="auto"/>
          <w:sz w:val="40"/>
          <w:szCs w:val="40"/>
          <w:highlight w:val="none"/>
        </w:rPr>
      </w:pPr>
    </w:p>
    <w:p w14:paraId="26B0FC86">
      <w:pPr>
        <w:spacing w:line="440" w:lineRule="exact"/>
        <w:jc w:val="center"/>
        <w:rPr>
          <w:rFonts w:ascii="Times New Roman" w:hAnsi="Times New Roman" w:eastAsia="黑体" w:cs="Times New Roman"/>
          <w:color w:val="auto"/>
          <w:sz w:val="40"/>
          <w:szCs w:val="40"/>
          <w:highlight w:val="none"/>
        </w:rPr>
      </w:pPr>
    </w:p>
    <w:p w14:paraId="069B56ED">
      <w:pPr>
        <w:tabs>
          <w:tab w:val="left" w:pos="3148"/>
        </w:tabs>
        <w:spacing w:line="440" w:lineRule="exact"/>
        <w:jc w:val="left"/>
        <w:rPr>
          <w:rFonts w:hint="eastAsia" w:ascii="Times New Roman" w:hAnsi="Times New Roman" w:eastAsia="黑体" w:cs="Times New Roman"/>
          <w:color w:val="auto"/>
          <w:sz w:val="40"/>
          <w:szCs w:val="40"/>
          <w:highlight w:val="none"/>
          <w:lang w:eastAsia="zh-CN"/>
        </w:rPr>
      </w:pPr>
    </w:p>
    <w:p w14:paraId="5FD11FFE">
      <w:pPr>
        <w:tabs>
          <w:tab w:val="right" w:leader="dot" w:pos="8312"/>
        </w:tabs>
        <w:jc w:val="center"/>
        <w:rPr>
          <w:rFonts w:hint="eastAsia" w:ascii="方正小标宋_GBK" w:hAnsi="方正小标宋_GBK" w:eastAsia="方正小标宋_GBK" w:cs="方正小标宋_GBK"/>
          <w:sz w:val="44"/>
          <w:szCs w:val="44"/>
          <w:highlight w:val="none"/>
          <w:lang w:val="en-US" w:eastAsia="zh-CN" w:bidi="ar-SA"/>
        </w:rPr>
      </w:pPr>
      <w:r>
        <w:rPr>
          <w:rFonts w:hint="eastAsia" w:ascii="方正小标宋_GBK" w:hAnsi="方正小标宋_GBK" w:eastAsia="方正小标宋_GBK" w:cs="方正小标宋_GBK"/>
          <w:sz w:val="44"/>
          <w:szCs w:val="44"/>
          <w:highlight w:val="none"/>
          <w:lang w:val="en-US" w:eastAsia="zh-CN" w:bidi="ar-SA"/>
        </w:rPr>
        <w:t>供 应 商 须 知</w:t>
      </w:r>
    </w:p>
    <w:p w14:paraId="4E29B412">
      <w:pPr>
        <w:spacing w:line="440" w:lineRule="exact"/>
        <w:rPr>
          <w:rFonts w:ascii="Times New Roman" w:hAnsi="Times New Roman" w:eastAsia="黑体" w:cs="Times New Roman"/>
          <w:color w:val="auto"/>
          <w:sz w:val="20"/>
          <w:szCs w:val="20"/>
          <w:highlight w:val="none"/>
        </w:rPr>
      </w:pPr>
    </w:p>
    <w:p w14:paraId="0422F2BB">
      <w:pPr>
        <w:spacing w:line="440" w:lineRule="exact"/>
        <w:rPr>
          <w:rFonts w:ascii="Times New Roman" w:hAnsi="Times New Roman" w:eastAsia="黑体" w:cs="Times New Roman"/>
          <w:color w:val="auto"/>
          <w:sz w:val="20"/>
          <w:szCs w:val="20"/>
          <w:highlight w:val="none"/>
        </w:rPr>
      </w:pPr>
    </w:p>
    <w:p w14:paraId="0A743B0C">
      <w:pPr>
        <w:spacing w:line="440" w:lineRule="exact"/>
        <w:rPr>
          <w:rFonts w:ascii="Times New Roman" w:hAnsi="Times New Roman" w:eastAsia="黑体" w:cs="Times New Roman"/>
          <w:color w:val="auto"/>
          <w:sz w:val="20"/>
          <w:szCs w:val="20"/>
          <w:highlight w:val="none"/>
        </w:rPr>
      </w:pPr>
    </w:p>
    <w:p w14:paraId="50B7C5F6">
      <w:pPr>
        <w:spacing w:line="440" w:lineRule="exact"/>
        <w:rPr>
          <w:rFonts w:ascii="Times New Roman" w:hAnsi="Times New Roman" w:eastAsia="黑体" w:cs="Times New Roman"/>
          <w:color w:val="auto"/>
          <w:sz w:val="20"/>
          <w:szCs w:val="20"/>
          <w:highlight w:val="none"/>
        </w:rPr>
      </w:pPr>
    </w:p>
    <w:p w14:paraId="201E552A">
      <w:pPr>
        <w:spacing w:line="440" w:lineRule="exact"/>
        <w:rPr>
          <w:rFonts w:ascii="Times New Roman" w:hAnsi="Times New Roman" w:eastAsia="黑体" w:cs="Times New Roman"/>
          <w:color w:val="auto"/>
          <w:sz w:val="20"/>
          <w:szCs w:val="20"/>
          <w:highlight w:val="none"/>
        </w:rPr>
      </w:pPr>
    </w:p>
    <w:p w14:paraId="47B58A4B">
      <w:pPr>
        <w:spacing w:line="440" w:lineRule="exact"/>
        <w:rPr>
          <w:rFonts w:ascii="Times New Roman" w:hAnsi="Times New Roman" w:eastAsia="黑体" w:cs="Times New Roman"/>
          <w:color w:val="auto"/>
          <w:sz w:val="20"/>
          <w:szCs w:val="20"/>
          <w:highlight w:val="none"/>
        </w:rPr>
      </w:pPr>
    </w:p>
    <w:p w14:paraId="4C86D8BE">
      <w:pPr>
        <w:spacing w:line="440" w:lineRule="exact"/>
        <w:rPr>
          <w:rFonts w:ascii="Times New Roman" w:hAnsi="Times New Roman" w:eastAsia="黑体" w:cs="Times New Roman"/>
          <w:color w:val="auto"/>
          <w:sz w:val="20"/>
          <w:szCs w:val="20"/>
          <w:highlight w:val="none"/>
        </w:rPr>
      </w:pPr>
    </w:p>
    <w:p w14:paraId="1536E402">
      <w:pPr>
        <w:spacing w:line="440" w:lineRule="exact"/>
        <w:rPr>
          <w:rFonts w:ascii="Times New Roman" w:hAnsi="Times New Roman" w:eastAsia="黑体" w:cs="Times New Roman"/>
          <w:color w:val="auto"/>
          <w:sz w:val="20"/>
          <w:szCs w:val="20"/>
          <w:highlight w:val="none"/>
        </w:rPr>
      </w:pPr>
    </w:p>
    <w:p w14:paraId="1B547BB6">
      <w:pPr>
        <w:spacing w:line="440" w:lineRule="exact"/>
        <w:rPr>
          <w:rFonts w:ascii="Times New Roman" w:hAnsi="Times New Roman" w:eastAsia="黑体" w:cs="Times New Roman"/>
          <w:color w:val="auto"/>
          <w:sz w:val="20"/>
          <w:szCs w:val="20"/>
          <w:highlight w:val="none"/>
        </w:rPr>
      </w:pPr>
    </w:p>
    <w:p w14:paraId="608A383F">
      <w:pPr>
        <w:spacing w:line="440" w:lineRule="exact"/>
        <w:rPr>
          <w:rFonts w:ascii="Times New Roman" w:hAnsi="Times New Roman" w:eastAsia="黑体" w:cs="Times New Roman"/>
          <w:color w:val="auto"/>
          <w:sz w:val="20"/>
          <w:szCs w:val="20"/>
          <w:highlight w:val="none"/>
        </w:rPr>
      </w:pPr>
    </w:p>
    <w:p w14:paraId="16AA96CA">
      <w:pPr>
        <w:spacing w:line="440" w:lineRule="exact"/>
        <w:rPr>
          <w:rFonts w:ascii="Times New Roman" w:hAnsi="Times New Roman" w:eastAsia="黑体" w:cs="Times New Roman"/>
          <w:color w:val="auto"/>
          <w:sz w:val="20"/>
          <w:szCs w:val="20"/>
          <w:highlight w:val="none"/>
        </w:rPr>
      </w:pPr>
    </w:p>
    <w:p w14:paraId="4B031827">
      <w:pPr>
        <w:spacing w:line="440" w:lineRule="exact"/>
        <w:rPr>
          <w:rFonts w:ascii="Times New Roman" w:hAnsi="Times New Roman" w:eastAsia="黑体" w:cs="Times New Roman"/>
          <w:color w:val="auto"/>
          <w:sz w:val="20"/>
          <w:szCs w:val="20"/>
          <w:highlight w:val="none"/>
        </w:rPr>
      </w:pPr>
    </w:p>
    <w:p w14:paraId="3FDB46E1">
      <w:pPr>
        <w:spacing w:line="440" w:lineRule="exact"/>
        <w:rPr>
          <w:rFonts w:ascii="Times New Roman" w:hAnsi="Times New Roman" w:eastAsia="黑体" w:cs="Times New Roman"/>
          <w:color w:val="auto"/>
          <w:sz w:val="20"/>
          <w:szCs w:val="20"/>
          <w:highlight w:val="none"/>
        </w:rPr>
      </w:pPr>
    </w:p>
    <w:p w14:paraId="575BC682">
      <w:pPr>
        <w:spacing w:line="440" w:lineRule="exact"/>
        <w:rPr>
          <w:rFonts w:ascii="Times New Roman" w:hAnsi="Times New Roman" w:eastAsia="黑体" w:cs="Times New Roman"/>
          <w:color w:val="auto"/>
          <w:sz w:val="28"/>
          <w:szCs w:val="28"/>
          <w:highlight w:val="none"/>
        </w:rPr>
      </w:pPr>
    </w:p>
    <w:p w14:paraId="5D87CC69">
      <w:pPr>
        <w:widowControl w:val="0"/>
        <w:spacing w:after="120"/>
        <w:jc w:val="right"/>
        <w:rPr>
          <w:rFonts w:ascii="Times New Roman" w:hAnsi="Times New Roman" w:eastAsia="宋体" w:cs="Times New Roman"/>
          <w:color w:val="auto"/>
          <w:kern w:val="2"/>
          <w:sz w:val="21"/>
          <w:szCs w:val="24"/>
          <w:highlight w:val="none"/>
          <w:u w:val="single"/>
          <w:lang w:val="en-US" w:eastAsia="zh-CN" w:bidi="ar-SA"/>
        </w:rPr>
      </w:pPr>
      <w:r>
        <w:rPr>
          <w:rFonts w:ascii="Times New Roman" w:hAnsi="Times New Roman" w:eastAsia="黑体" w:cs="Times New Roman"/>
          <w:color w:val="auto"/>
          <w:kern w:val="2"/>
          <w:sz w:val="20"/>
          <w:szCs w:val="20"/>
          <w:highlight w:val="none"/>
          <w:lang w:val="en-US" w:eastAsia="zh-CN" w:bidi="ar-SA"/>
        </w:rPr>
        <w:br w:type="page"/>
      </w:r>
    </w:p>
    <w:p w14:paraId="7EBDEB12">
      <w:pPr>
        <w:tabs>
          <w:tab w:val="right" w:leader="dot" w:pos="8312"/>
        </w:tabs>
        <w:jc w:val="center"/>
        <w:rPr>
          <w:rFonts w:hint="eastAsia" w:ascii="Times New Roman" w:hAnsi="Times New Roman" w:eastAsia="宋体" w:cs="Times New Roman"/>
          <w:kern w:val="2"/>
          <w:sz w:val="30"/>
          <w:szCs w:val="30"/>
          <w:highlight w:val="none"/>
          <w:lang w:val="en-US" w:eastAsia="zh-CN" w:bidi="ar-SA"/>
        </w:rPr>
      </w:pPr>
      <w:r>
        <w:rPr>
          <w:rFonts w:hint="eastAsia" w:ascii="Times New Roman" w:hAnsi="Times New Roman" w:eastAsia="宋体" w:cs="Times New Roman"/>
          <w:kern w:val="2"/>
          <w:sz w:val="30"/>
          <w:szCs w:val="30"/>
          <w:highlight w:val="none"/>
          <w:lang w:val="en-US" w:eastAsia="zh-CN" w:bidi="ar-SA"/>
        </w:rPr>
        <w:t>目录</w:t>
      </w:r>
    </w:p>
    <w:p w14:paraId="56498B29">
      <w:pPr>
        <w:widowControl w:val="0"/>
        <w:spacing w:after="120"/>
        <w:jc w:val="both"/>
        <w:rPr>
          <w:rFonts w:ascii="Calibri" w:hAnsi="Calibri" w:eastAsia="宋体" w:cs="Times New Roman"/>
          <w:kern w:val="2"/>
          <w:sz w:val="21"/>
          <w:szCs w:val="24"/>
          <w:lang w:val="en-US" w:eastAsia="zh-CN" w:bidi="ar-SA"/>
        </w:rPr>
      </w:pPr>
    </w:p>
    <w:p w14:paraId="174D27D3">
      <w:pPr>
        <w:tabs>
          <w:tab w:val="right" w:leader="dot" w:pos="8312"/>
        </w:tabs>
        <w:rPr>
          <w:rFonts w:hint="default" w:ascii="Calibri" w:hAnsi="Calibri" w:eastAsia="宋体" w:cs="Times New Roman"/>
          <w:sz w:val="32"/>
          <w:szCs w:val="32"/>
          <w:highlight w:val="none"/>
          <w:lang w:val="en-US" w:eastAsia="zh-CN" w:bidi="ar-SA"/>
        </w:rPr>
      </w:pPr>
      <w:r>
        <w:rPr>
          <w:rFonts w:ascii="Calibri" w:hAnsi="Calibri" w:eastAsia="宋体" w:cs="Times New Roman"/>
          <w:sz w:val="32"/>
          <w:szCs w:val="32"/>
          <w:highlight w:val="none"/>
          <w:lang w:val="en-US" w:eastAsia="zh-CN" w:bidi="ar-SA"/>
        </w:rPr>
        <w:fldChar w:fldCharType="begin"/>
      </w:r>
      <w:r>
        <w:rPr>
          <w:rFonts w:ascii="Calibri" w:hAnsi="Calibri" w:eastAsia="宋体" w:cs="Times New Roman"/>
          <w:sz w:val="32"/>
          <w:szCs w:val="32"/>
          <w:highlight w:val="none"/>
          <w:lang w:val="en-US" w:eastAsia="zh-CN" w:bidi="ar-SA"/>
        </w:rPr>
        <w:instrText xml:space="preserve"> HYPERLINK \l "_Toc32745" </w:instrText>
      </w:r>
      <w:r>
        <w:rPr>
          <w:rFonts w:ascii="Calibri" w:hAnsi="Calibri" w:eastAsia="宋体" w:cs="Times New Roman"/>
          <w:sz w:val="32"/>
          <w:szCs w:val="32"/>
          <w:highlight w:val="none"/>
          <w:lang w:val="en-US" w:eastAsia="zh-CN" w:bidi="ar-SA"/>
        </w:rPr>
        <w:fldChar w:fldCharType="separate"/>
      </w:r>
      <w:r>
        <w:rPr>
          <w:rFonts w:hint="eastAsia" w:ascii="Times New Roman" w:hAnsi="Times New Roman" w:eastAsia="宋体" w:cs="Times New Roman"/>
          <w:sz w:val="32"/>
          <w:szCs w:val="32"/>
          <w:highlight w:val="none"/>
          <w:lang w:val="en-US" w:eastAsia="zh-CN" w:bidi="ar-SA"/>
        </w:rPr>
        <w:t>第一章 供货要求及基本资质要求..........................................................3</w:t>
      </w:r>
      <w:r>
        <w:rPr>
          <w:rFonts w:ascii="Calibri" w:hAnsi="Calibri" w:eastAsia="宋体" w:cs="Times New Roman"/>
          <w:sz w:val="32"/>
          <w:szCs w:val="32"/>
          <w:highlight w:val="none"/>
          <w:lang w:val="en-US" w:eastAsia="zh-CN" w:bidi="ar-SA"/>
        </w:rPr>
        <w:fldChar w:fldCharType="end"/>
      </w:r>
    </w:p>
    <w:p w14:paraId="787037F1">
      <w:pPr>
        <w:tabs>
          <w:tab w:val="right" w:leader="dot" w:pos="8312"/>
        </w:tabs>
        <w:rPr>
          <w:rFonts w:ascii="Calibri" w:hAnsi="Calibri" w:eastAsia="宋体" w:cs="Times New Roman"/>
          <w:sz w:val="32"/>
          <w:szCs w:val="32"/>
          <w:highlight w:val="none"/>
          <w:lang w:val="en-US" w:eastAsia="zh-CN" w:bidi="ar-SA"/>
        </w:rPr>
      </w:pPr>
      <w:r>
        <w:rPr>
          <w:rFonts w:ascii="Calibri" w:hAnsi="Calibri" w:eastAsia="宋体" w:cs="Times New Roman"/>
          <w:sz w:val="32"/>
          <w:szCs w:val="32"/>
          <w:highlight w:val="none"/>
          <w:lang w:val="en-US" w:eastAsia="zh-CN" w:bidi="ar-SA"/>
        </w:rPr>
        <w:fldChar w:fldCharType="begin"/>
      </w:r>
      <w:r>
        <w:rPr>
          <w:rFonts w:ascii="Calibri" w:hAnsi="Calibri" w:eastAsia="宋体" w:cs="Times New Roman"/>
          <w:sz w:val="32"/>
          <w:szCs w:val="32"/>
          <w:highlight w:val="none"/>
          <w:lang w:val="en-US" w:eastAsia="zh-CN" w:bidi="ar-SA"/>
        </w:rPr>
        <w:instrText xml:space="preserve"> HYPERLINK \l "_Toc24332" </w:instrText>
      </w:r>
      <w:r>
        <w:rPr>
          <w:rFonts w:ascii="Calibri" w:hAnsi="Calibri" w:eastAsia="宋体" w:cs="Times New Roman"/>
          <w:sz w:val="32"/>
          <w:szCs w:val="32"/>
          <w:highlight w:val="none"/>
          <w:lang w:val="en-US" w:eastAsia="zh-CN" w:bidi="ar-SA"/>
        </w:rPr>
        <w:fldChar w:fldCharType="separate"/>
      </w:r>
      <w:r>
        <w:rPr>
          <w:rFonts w:hint="eastAsia" w:ascii="Times New Roman" w:hAnsi="Times New Roman" w:eastAsia="宋体" w:cs="Times New Roman"/>
          <w:sz w:val="32"/>
          <w:szCs w:val="32"/>
          <w:highlight w:val="none"/>
          <w:lang w:val="en-US" w:eastAsia="zh-CN" w:bidi="ar-SA"/>
        </w:rPr>
        <w:t>第二章 评审办法......................................................................................7</w:t>
      </w:r>
      <w:r>
        <w:rPr>
          <w:rFonts w:ascii="Calibri" w:hAnsi="Calibri" w:eastAsia="宋体" w:cs="Times New Roman"/>
          <w:sz w:val="32"/>
          <w:szCs w:val="32"/>
          <w:highlight w:val="none"/>
          <w:lang w:val="en-US" w:eastAsia="zh-CN" w:bidi="ar-SA"/>
        </w:rPr>
        <w:fldChar w:fldCharType="end"/>
      </w:r>
    </w:p>
    <w:p w14:paraId="5ED8F1E0">
      <w:pPr>
        <w:tabs>
          <w:tab w:val="right" w:leader="dot" w:pos="8312"/>
        </w:tabs>
        <w:rPr>
          <w:rFonts w:hint="default" w:ascii="Times New Roman" w:hAnsi="Times New Roman" w:eastAsia="Times New Roman" w:cs="Times New Roman"/>
          <w:snapToGrid w:val="0"/>
          <w:color w:val="000000"/>
          <w:kern w:val="0"/>
          <w:sz w:val="32"/>
          <w:szCs w:val="32"/>
          <w:lang w:val="en-US" w:eastAsia="en-US" w:bidi="ar-SA"/>
        </w:rPr>
      </w:pPr>
    </w:p>
    <w:p w14:paraId="0510C1C6">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3DA2262E">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09F8FE34">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1E66DA63">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6524F13F">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6A5D0282">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051A9272">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5BFA6FC9">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5FEFE01A">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0C39029C">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46170B17">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4CE7CE62">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697BEE26">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4E85A105">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1556F7E8">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6A5211C8">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1E4E6C77">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3B1573E6">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1A2B2699">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6D656294">
      <w:pPr>
        <w:widowControl w:val="0"/>
        <w:spacing w:after="120"/>
        <w:jc w:val="both"/>
        <w:rPr>
          <w:rFonts w:ascii="Times New Roman" w:hAnsi="Times New Roman" w:eastAsia="Times New Roman" w:cs="Times New Roman"/>
          <w:snapToGrid w:val="0"/>
          <w:color w:val="000000"/>
          <w:kern w:val="0"/>
          <w:sz w:val="24"/>
          <w:szCs w:val="24"/>
          <w:lang w:val="en-US" w:eastAsia="en-US" w:bidi="ar-SA"/>
        </w:rPr>
      </w:pPr>
    </w:p>
    <w:p w14:paraId="243F1910">
      <w:pPr>
        <w:widowControl w:val="0"/>
        <w:spacing w:after="120"/>
        <w:jc w:val="both"/>
        <w:rPr>
          <w:rFonts w:ascii="Times New Roman" w:hAnsi="Times New Roman" w:eastAsia="宋体" w:cs="Times New Roman"/>
          <w:color w:val="auto"/>
          <w:kern w:val="2"/>
          <w:sz w:val="21"/>
          <w:szCs w:val="24"/>
          <w:highlight w:val="none"/>
          <w:lang w:val="en-US" w:eastAsia="zh-CN" w:bidi="ar-SA"/>
        </w:rPr>
      </w:pPr>
    </w:p>
    <w:p w14:paraId="605226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1897"/>
        </w:tabs>
        <w:spacing w:before="0" w:beforeAutospacing="0" w:after="0" w:afterAutospacing="0"/>
        <w:ind w:right="0"/>
        <w:jc w:val="center"/>
        <w:rPr>
          <w:rFonts w:hint="eastAsia" w:ascii="黑体" w:hAnsi="宋体" w:eastAsia="黑体" w:cs="黑体"/>
          <w:i w:val="0"/>
          <w:iCs w:val="0"/>
          <w:caps w:val="0"/>
          <w:color w:val="333333"/>
          <w:spacing w:val="0"/>
          <w:kern w:val="0"/>
          <w:sz w:val="31"/>
          <w:szCs w:val="31"/>
          <w:shd w:val="clear" w:fill="FFFFFF"/>
          <w:lang w:val="en-US" w:eastAsia="zh-CN" w:bidi="ar"/>
        </w:rPr>
      </w:pPr>
    </w:p>
    <w:p w14:paraId="4F18D52F">
      <w:pPr>
        <w:widowControl/>
        <w:kinsoku w:val="0"/>
        <w:autoSpaceDE w:val="0"/>
        <w:autoSpaceDN w:val="0"/>
        <w:adjustRightInd w:val="0"/>
        <w:snapToGrid w:val="0"/>
        <w:spacing w:before="72" w:line="222" w:lineRule="auto"/>
        <w:ind w:left="3386"/>
        <w:jc w:val="left"/>
        <w:textAlignment w:val="baseline"/>
        <w:outlineLvl w:val="0"/>
        <w:rPr>
          <w:rFonts w:hint="eastAsia" w:ascii="黑体" w:hAnsi="黑体" w:eastAsia="黑体" w:cs="黑体"/>
          <w:snapToGrid w:val="0"/>
          <w:color w:val="000000"/>
          <w:spacing w:val="-2"/>
          <w:kern w:val="0"/>
          <w:sz w:val="36"/>
          <w:szCs w:val="36"/>
          <w:lang w:val="en-US" w:eastAsia="zh-CN"/>
        </w:rPr>
      </w:pPr>
    </w:p>
    <w:p w14:paraId="5B8E35E4">
      <w:pPr>
        <w:widowControl/>
        <w:kinsoku w:val="0"/>
        <w:autoSpaceDE w:val="0"/>
        <w:autoSpaceDN w:val="0"/>
        <w:adjustRightInd w:val="0"/>
        <w:snapToGrid w:val="0"/>
        <w:spacing w:before="72" w:line="222" w:lineRule="auto"/>
        <w:ind w:left="3386"/>
        <w:jc w:val="left"/>
        <w:textAlignment w:val="baseline"/>
        <w:outlineLvl w:val="0"/>
        <w:rPr>
          <w:rFonts w:hint="eastAsia" w:ascii="黑体" w:hAnsi="黑体" w:eastAsia="黑体" w:cs="黑体"/>
          <w:snapToGrid w:val="0"/>
          <w:color w:val="000000"/>
          <w:spacing w:val="-2"/>
          <w:kern w:val="0"/>
          <w:sz w:val="36"/>
          <w:szCs w:val="36"/>
          <w:lang w:val="en-US" w:eastAsia="zh-CN"/>
        </w:rPr>
      </w:pPr>
    </w:p>
    <w:p w14:paraId="50B5C572">
      <w:pPr>
        <w:widowControl/>
        <w:kinsoku w:val="0"/>
        <w:autoSpaceDE w:val="0"/>
        <w:autoSpaceDN w:val="0"/>
        <w:adjustRightInd w:val="0"/>
        <w:snapToGrid w:val="0"/>
        <w:spacing w:before="72" w:line="222" w:lineRule="auto"/>
        <w:ind w:left="3386"/>
        <w:jc w:val="left"/>
        <w:textAlignment w:val="baseline"/>
        <w:outlineLvl w:val="0"/>
        <w:rPr>
          <w:rFonts w:hint="eastAsia" w:ascii="黑体" w:hAnsi="黑体" w:eastAsia="黑体" w:cs="黑体"/>
          <w:snapToGrid w:val="0"/>
          <w:color w:val="000000"/>
          <w:spacing w:val="-2"/>
          <w:kern w:val="0"/>
          <w:sz w:val="36"/>
          <w:szCs w:val="36"/>
          <w:lang w:val="en-US" w:eastAsia="zh-CN"/>
        </w:rPr>
      </w:pPr>
    </w:p>
    <w:p w14:paraId="75921ED1">
      <w:pPr>
        <w:widowControl/>
        <w:kinsoku w:val="0"/>
        <w:autoSpaceDE w:val="0"/>
        <w:autoSpaceDN w:val="0"/>
        <w:adjustRightInd w:val="0"/>
        <w:snapToGrid w:val="0"/>
        <w:spacing w:before="72" w:line="222" w:lineRule="auto"/>
        <w:ind w:left="3386"/>
        <w:jc w:val="left"/>
        <w:textAlignment w:val="baseline"/>
        <w:outlineLvl w:val="0"/>
        <w:rPr>
          <w:rFonts w:hint="eastAsia" w:ascii="黑体" w:hAnsi="黑体" w:eastAsia="黑体" w:cs="黑体"/>
          <w:snapToGrid w:val="0"/>
          <w:color w:val="000000"/>
          <w:spacing w:val="-2"/>
          <w:kern w:val="0"/>
          <w:sz w:val="36"/>
          <w:szCs w:val="36"/>
          <w:lang w:val="en-US" w:eastAsia="zh-CN"/>
        </w:rPr>
      </w:pPr>
    </w:p>
    <w:p w14:paraId="7036A282">
      <w:pPr>
        <w:widowControl/>
        <w:kinsoku w:val="0"/>
        <w:autoSpaceDE w:val="0"/>
        <w:autoSpaceDN w:val="0"/>
        <w:adjustRightInd w:val="0"/>
        <w:snapToGrid w:val="0"/>
        <w:spacing w:before="72" w:line="222" w:lineRule="auto"/>
        <w:ind w:left="3386"/>
        <w:jc w:val="left"/>
        <w:textAlignment w:val="baseline"/>
        <w:outlineLvl w:val="0"/>
        <w:rPr>
          <w:rFonts w:hint="eastAsia" w:ascii="黑体" w:hAnsi="黑体" w:eastAsia="黑体" w:cs="黑体"/>
          <w:snapToGrid w:val="0"/>
          <w:color w:val="000000"/>
          <w:spacing w:val="-2"/>
          <w:kern w:val="0"/>
          <w:sz w:val="36"/>
          <w:szCs w:val="36"/>
          <w:lang w:val="en-US" w:eastAsia="zh-CN"/>
        </w:rPr>
      </w:pPr>
    </w:p>
    <w:p w14:paraId="56B79113">
      <w:pPr>
        <w:widowControl w:val="0"/>
        <w:spacing w:after="120"/>
        <w:jc w:val="both"/>
        <w:rPr>
          <w:rFonts w:hint="eastAsia" w:ascii="Calibri" w:hAnsi="Calibri" w:eastAsia="宋体" w:cs="Times New Roman"/>
          <w:kern w:val="2"/>
          <w:sz w:val="21"/>
          <w:szCs w:val="24"/>
          <w:lang w:val="en-US" w:eastAsia="zh-CN" w:bidi="ar-SA"/>
        </w:rPr>
      </w:pPr>
    </w:p>
    <w:p w14:paraId="70532B08">
      <w:pPr>
        <w:widowControl/>
        <w:kinsoku w:val="0"/>
        <w:autoSpaceDE w:val="0"/>
        <w:autoSpaceDN w:val="0"/>
        <w:adjustRightInd w:val="0"/>
        <w:snapToGrid w:val="0"/>
        <w:spacing w:before="72" w:line="222" w:lineRule="auto"/>
        <w:ind w:left="3386"/>
        <w:jc w:val="left"/>
        <w:textAlignment w:val="baseline"/>
        <w:outlineLvl w:val="0"/>
        <w:rPr>
          <w:rFonts w:hint="eastAsia" w:ascii="黑体" w:hAnsi="黑体" w:eastAsia="黑体" w:cs="黑体"/>
          <w:snapToGrid w:val="0"/>
          <w:color w:val="000000"/>
          <w:spacing w:val="-2"/>
          <w:kern w:val="0"/>
          <w:sz w:val="36"/>
          <w:szCs w:val="36"/>
          <w:lang w:val="en-US" w:eastAsia="zh-CN"/>
        </w:rPr>
      </w:pPr>
    </w:p>
    <w:p w14:paraId="52F0C37D">
      <w:pPr>
        <w:widowControl/>
        <w:numPr>
          <w:ilvl w:val="0"/>
          <w:numId w:val="0"/>
        </w:numPr>
        <w:kinsoku w:val="0"/>
        <w:autoSpaceDE w:val="0"/>
        <w:autoSpaceDN w:val="0"/>
        <w:adjustRightInd w:val="0"/>
        <w:snapToGrid w:val="0"/>
        <w:spacing w:before="72" w:line="222" w:lineRule="auto"/>
        <w:jc w:val="center"/>
        <w:textAlignment w:val="baseline"/>
        <w:outlineLvl w:val="0"/>
        <w:rPr>
          <w:rFonts w:hint="eastAsia" w:ascii="黑体" w:hAnsi="黑体" w:eastAsia="黑体" w:cs="黑体"/>
          <w:snapToGrid w:val="0"/>
          <w:color w:val="000000"/>
          <w:spacing w:val="-2"/>
          <w:kern w:val="0"/>
          <w:sz w:val="36"/>
          <w:szCs w:val="36"/>
          <w:lang w:val="en-US" w:eastAsia="zh-CN" w:bidi="ar-SA"/>
        </w:rPr>
      </w:pPr>
      <w:bookmarkStart w:id="0" w:name="_Toc25570"/>
      <w:bookmarkStart w:id="1" w:name="_Toc27104"/>
    </w:p>
    <w:p w14:paraId="3BCE5C22">
      <w:pPr>
        <w:widowControl/>
        <w:numPr>
          <w:ilvl w:val="0"/>
          <w:numId w:val="0"/>
        </w:numPr>
        <w:kinsoku w:val="0"/>
        <w:autoSpaceDE w:val="0"/>
        <w:autoSpaceDN w:val="0"/>
        <w:adjustRightInd w:val="0"/>
        <w:snapToGrid w:val="0"/>
        <w:spacing w:before="72" w:line="222" w:lineRule="auto"/>
        <w:jc w:val="center"/>
        <w:textAlignment w:val="baseline"/>
        <w:outlineLvl w:val="0"/>
        <w:rPr>
          <w:rFonts w:hint="eastAsia" w:ascii="黑体" w:hAnsi="黑体" w:eastAsia="黑体" w:cs="黑体"/>
          <w:snapToGrid w:val="0"/>
          <w:color w:val="000000"/>
          <w:spacing w:val="-2"/>
          <w:kern w:val="0"/>
          <w:sz w:val="36"/>
          <w:szCs w:val="36"/>
          <w:lang w:val="en-US" w:eastAsia="zh-CN"/>
        </w:rPr>
      </w:pPr>
      <w:r>
        <w:rPr>
          <w:rFonts w:hint="eastAsia" w:ascii="黑体" w:hAnsi="黑体" w:eastAsia="黑体" w:cs="黑体"/>
          <w:snapToGrid w:val="0"/>
          <w:color w:val="000000"/>
          <w:spacing w:val="-2"/>
          <w:kern w:val="0"/>
          <w:sz w:val="36"/>
          <w:szCs w:val="36"/>
          <w:lang w:val="en-US" w:eastAsia="zh-CN" w:bidi="ar-SA"/>
        </w:rPr>
        <w:t>第一章</w:t>
      </w:r>
      <w:r>
        <w:rPr>
          <w:rFonts w:hint="eastAsia" w:ascii="黑体" w:hAnsi="黑体" w:eastAsia="黑体" w:cs="黑体"/>
          <w:snapToGrid w:val="0"/>
          <w:color w:val="000000"/>
          <w:spacing w:val="-2"/>
          <w:kern w:val="0"/>
          <w:sz w:val="36"/>
          <w:szCs w:val="36"/>
          <w:lang w:val="en-US" w:eastAsia="zh-CN"/>
        </w:rPr>
        <w:t xml:space="preserve"> 供货要求</w:t>
      </w:r>
      <w:bookmarkEnd w:id="0"/>
      <w:bookmarkEnd w:id="1"/>
      <w:r>
        <w:rPr>
          <w:rFonts w:hint="eastAsia" w:ascii="黑体" w:hAnsi="黑体" w:eastAsia="黑体" w:cs="黑体"/>
          <w:snapToGrid w:val="0"/>
          <w:color w:val="000000"/>
          <w:spacing w:val="-2"/>
          <w:kern w:val="0"/>
          <w:sz w:val="36"/>
          <w:szCs w:val="36"/>
          <w:lang w:val="en-US" w:eastAsia="zh-CN"/>
        </w:rPr>
        <w:t>及基本资质要求</w:t>
      </w:r>
    </w:p>
    <w:p w14:paraId="57CABC74">
      <w:pPr>
        <w:widowControl/>
        <w:kinsoku w:val="0"/>
        <w:autoSpaceDE w:val="0"/>
        <w:autoSpaceDN w:val="0"/>
        <w:adjustRightInd w:val="0"/>
        <w:snapToGrid w:val="0"/>
        <w:spacing w:before="91" w:line="222" w:lineRule="auto"/>
        <w:jc w:val="center"/>
        <w:textAlignment w:val="baseline"/>
        <w:rPr>
          <w:rFonts w:hint="default" w:ascii="黑体" w:hAnsi="黑体" w:eastAsia="黑体" w:cs="黑体"/>
          <w:snapToGrid w:val="0"/>
          <w:color w:val="000000"/>
          <w:spacing w:val="-1"/>
          <w:kern w:val="0"/>
          <w:sz w:val="28"/>
          <w:szCs w:val="28"/>
          <w:lang w:val="en-US" w:eastAsia="zh-CN"/>
        </w:rPr>
      </w:pPr>
      <w:r>
        <w:rPr>
          <w:rFonts w:hint="eastAsia" w:ascii="黑体" w:hAnsi="黑体" w:eastAsia="黑体" w:cs="黑体"/>
          <w:snapToGrid w:val="0"/>
          <w:color w:val="000000"/>
          <w:spacing w:val="-1"/>
          <w:kern w:val="0"/>
          <w:sz w:val="28"/>
          <w:szCs w:val="28"/>
          <w:lang w:val="en-US" w:eastAsia="zh-CN"/>
        </w:rPr>
        <w:t>1.供货要求</w:t>
      </w:r>
    </w:p>
    <w:p w14:paraId="45FB9E4D">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outlineLvl w:val="9"/>
        <w:rPr>
          <w:rFonts w:hint="eastAsia" w:ascii="宋体" w:hAnsi="宋体" w:eastAsia="宋体" w:cs="宋体"/>
          <w:b/>
          <w:snapToGrid/>
          <w:color w:val="auto"/>
          <w:kern w:val="2"/>
          <w:sz w:val="22"/>
          <w:szCs w:val="22"/>
          <w:highlight w:val="none"/>
          <w:lang w:eastAsia="zh-CN"/>
        </w:rPr>
      </w:pPr>
      <w:bookmarkStart w:id="2" w:name="_Hlt509716920"/>
      <w:bookmarkEnd w:id="2"/>
      <w:bookmarkStart w:id="3" w:name="_Toc28083"/>
      <w:bookmarkStart w:id="4" w:name="_Toc2788"/>
      <w:bookmarkStart w:id="5" w:name="_Toc3921"/>
      <w:bookmarkStart w:id="6" w:name="_Toc20454"/>
      <w:bookmarkStart w:id="7" w:name="_Toc5211"/>
      <w:bookmarkStart w:id="8" w:name="_Toc23183"/>
      <w:bookmarkStart w:id="9" w:name="_Toc2444"/>
      <w:bookmarkStart w:id="10" w:name="_Toc12192"/>
      <w:bookmarkStart w:id="11" w:name="_Toc15454"/>
      <w:bookmarkStart w:id="12" w:name="_Toc4104"/>
      <w:bookmarkStart w:id="13" w:name="_Toc11373"/>
      <w:bookmarkStart w:id="14" w:name="_Toc15828"/>
      <w:bookmarkStart w:id="15" w:name="_Toc3871"/>
      <w:bookmarkStart w:id="16" w:name="_Toc24145"/>
      <w:bookmarkStart w:id="17" w:name="_Toc11761"/>
    </w:p>
    <w:p w14:paraId="2FC7F2CE">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outlineLvl w:val="1"/>
        <w:rPr>
          <w:rFonts w:hint="eastAsia" w:ascii="宋体" w:hAnsi="宋体" w:eastAsia="宋体" w:cs="宋体"/>
          <w:b/>
          <w:snapToGrid/>
          <w:color w:val="auto"/>
          <w:kern w:val="2"/>
          <w:sz w:val="22"/>
          <w:szCs w:val="22"/>
          <w:highlight w:val="none"/>
          <w:lang w:eastAsia="zh-CN"/>
        </w:rPr>
      </w:pPr>
      <w:bookmarkStart w:id="18" w:name="_Toc14397"/>
      <w:bookmarkStart w:id="19" w:name="_Toc1272"/>
      <w:bookmarkStart w:id="20" w:name="_Toc25147"/>
      <w:r>
        <w:rPr>
          <w:rFonts w:hint="eastAsia" w:ascii="宋体" w:hAnsi="宋体" w:eastAsia="宋体" w:cs="宋体"/>
          <w:b/>
          <w:snapToGrid/>
          <w:color w:val="auto"/>
          <w:kern w:val="2"/>
          <w:sz w:val="22"/>
          <w:szCs w:val="22"/>
          <w:highlight w:val="none"/>
          <w:lang w:eastAsia="zh-CN"/>
        </w:rPr>
        <w:t>一、项目概况</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8F91FE6">
      <w:pPr>
        <w:keepNext w:val="0"/>
        <w:keepLines w:val="0"/>
        <w:pageBreakBefore w:val="0"/>
        <w:widowControl/>
        <w:kinsoku/>
        <w:wordWrap w:val="0"/>
        <w:overflowPunct/>
        <w:topLinePunct w:val="0"/>
        <w:autoSpaceDE/>
        <w:autoSpaceDN/>
        <w:bidi w:val="0"/>
        <w:adjustRightInd w:val="0"/>
        <w:snapToGrid w:val="0"/>
        <w:spacing w:line="400" w:lineRule="exact"/>
        <w:ind w:firstLine="440" w:firstLineChars="200"/>
        <w:jc w:val="left"/>
        <w:textAlignment w:val="auto"/>
        <w:rPr>
          <w:rFonts w:hint="eastAsia" w:ascii="宋体" w:hAnsi="宋体" w:eastAsia="宋体" w:cs="宋体"/>
          <w:snapToGrid/>
          <w:color w:val="auto"/>
          <w:kern w:val="2"/>
          <w:sz w:val="22"/>
          <w:szCs w:val="22"/>
          <w:highlight w:val="none"/>
          <w:lang w:val="en-US" w:eastAsia="zh-CN" w:bidi="ar-SA"/>
        </w:rPr>
      </w:pPr>
      <w:bookmarkStart w:id="21" w:name="_Toc5218"/>
      <w:bookmarkStart w:id="22" w:name="_Toc24768"/>
      <w:bookmarkStart w:id="23" w:name="_Toc8671"/>
      <w:bookmarkStart w:id="24" w:name="_Toc14571"/>
      <w:bookmarkStart w:id="25" w:name="_Toc2382"/>
      <w:r>
        <w:rPr>
          <w:rFonts w:hint="eastAsia" w:ascii="宋体" w:hAnsi="宋体" w:eastAsia="宋体" w:cs="宋体"/>
          <w:snapToGrid/>
          <w:color w:val="auto"/>
          <w:kern w:val="2"/>
          <w:sz w:val="22"/>
          <w:szCs w:val="22"/>
          <w:highlight w:val="none"/>
          <w:lang w:val="en-US" w:eastAsia="zh-CN" w:bidi="ar-SA"/>
        </w:rPr>
        <w:t xml:space="preserve">1.1 </w:t>
      </w:r>
      <w:r>
        <w:rPr>
          <w:rFonts w:hint="eastAsia" w:ascii="宋体" w:hAnsi="宋体" w:eastAsia="宋体" w:cs="宋体"/>
          <w:snapToGrid/>
          <w:color w:val="auto"/>
          <w:kern w:val="0"/>
          <w:sz w:val="21"/>
          <w:szCs w:val="21"/>
          <w:highlight w:val="none"/>
          <w:lang w:val="en-US" w:eastAsia="zh-CN" w:bidi="ar"/>
        </w:rPr>
        <w:t>为进一步规范物资采购工作，建立竞争机制，降低采购成本，提高经济效益，确保食品安全，现对安徽驿佳商贸有限公司连锁门店2026年商品引进招商公告（第三期）进行国内公开招商。本项目分为5个合同包，主要采购内容包括烤肠、卤蛋、关东煮等小吃（具体配送品种由采购人指定）。采购估算金额详见招商公告，服务期限：二年。自合同签订之日起一年（年度考评满意率达到80%以上，续签下一年合同）</w:t>
      </w:r>
    </w:p>
    <w:p w14:paraId="3F793E42">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outlineLvl w:val="9"/>
        <w:rPr>
          <w:rFonts w:hint="eastAsia" w:ascii="宋体" w:hAnsi="宋体" w:eastAsia="宋体" w:cs="宋体"/>
          <w:b/>
          <w:snapToGrid/>
          <w:color w:val="auto"/>
          <w:kern w:val="2"/>
          <w:sz w:val="22"/>
          <w:szCs w:val="22"/>
          <w:highlight w:val="none"/>
          <w:lang w:eastAsia="zh-CN"/>
        </w:rPr>
      </w:pPr>
      <w:bookmarkStart w:id="26" w:name="_Toc12018"/>
      <w:bookmarkStart w:id="27" w:name="_Toc22149"/>
      <w:bookmarkStart w:id="28" w:name="_Toc26218"/>
      <w:bookmarkStart w:id="29" w:name="_Toc8739"/>
      <w:bookmarkStart w:id="30" w:name="_Toc19806"/>
      <w:bookmarkStart w:id="31" w:name="_Toc2160"/>
      <w:bookmarkStart w:id="32" w:name="_Toc20299"/>
      <w:bookmarkStart w:id="33" w:name="_Toc24457"/>
      <w:bookmarkStart w:id="34" w:name="_Toc431"/>
      <w:bookmarkStart w:id="35" w:name="_Toc26097"/>
      <w:bookmarkStart w:id="36" w:name="_Toc31000"/>
    </w:p>
    <w:p w14:paraId="099B5A39">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outlineLvl w:val="1"/>
        <w:rPr>
          <w:rFonts w:hint="eastAsia" w:ascii="宋体" w:hAnsi="宋体" w:eastAsia="宋体" w:cs="宋体"/>
          <w:b/>
          <w:snapToGrid/>
          <w:color w:val="auto"/>
          <w:kern w:val="2"/>
          <w:sz w:val="22"/>
          <w:szCs w:val="22"/>
          <w:highlight w:val="none"/>
          <w:lang w:eastAsia="zh-CN"/>
        </w:rPr>
      </w:pPr>
      <w:bookmarkStart w:id="37" w:name="_Toc13422"/>
      <w:r>
        <w:rPr>
          <w:rFonts w:hint="eastAsia" w:ascii="宋体" w:hAnsi="宋体" w:eastAsia="宋体" w:cs="宋体"/>
          <w:b/>
          <w:snapToGrid/>
          <w:color w:val="auto"/>
          <w:kern w:val="2"/>
          <w:sz w:val="22"/>
          <w:szCs w:val="22"/>
          <w:highlight w:val="none"/>
          <w:lang w:eastAsia="zh-CN"/>
        </w:rPr>
        <w:t>二</w:t>
      </w:r>
      <w:bookmarkEnd w:id="21"/>
      <w:bookmarkEnd w:id="22"/>
      <w:bookmarkEnd w:id="23"/>
      <w:bookmarkEnd w:id="24"/>
      <w:bookmarkEnd w:id="25"/>
      <w:bookmarkStart w:id="38" w:name="_Toc1049531"/>
      <w:r>
        <w:rPr>
          <w:rFonts w:hint="eastAsia" w:ascii="宋体" w:hAnsi="宋体" w:eastAsia="宋体" w:cs="宋体"/>
          <w:b/>
          <w:snapToGrid/>
          <w:color w:val="auto"/>
          <w:kern w:val="2"/>
          <w:sz w:val="22"/>
          <w:szCs w:val="22"/>
          <w:highlight w:val="none"/>
          <w:lang w:eastAsia="zh-CN"/>
        </w:rPr>
        <w:t>、服务要求</w:t>
      </w:r>
      <w:bookmarkEnd w:id="26"/>
      <w:bookmarkEnd w:id="27"/>
      <w:bookmarkEnd w:id="28"/>
      <w:bookmarkEnd w:id="29"/>
      <w:bookmarkEnd w:id="30"/>
      <w:bookmarkEnd w:id="31"/>
      <w:bookmarkEnd w:id="32"/>
      <w:bookmarkEnd w:id="33"/>
      <w:bookmarkEnd w:id="34"/>
      <w:bookmarkEnd w:id="35"/>
      <w:bookmarkEnd w:id="36"/>
      <w:bookmarkEnd w:id="37"/>
    </w:p>
    <w:bookmarkEnd w:id="38"/>
    <w:p w14:paraId="6BF0B2FB">
      <w:pPr>
        <w:keepNext w:val="0"/>
        <w:keepLines w:val="0"/>
        <w:pageBreakBefore w:val="0"/>
        <w:widowControl w:val="0"/>
        <w:kinsoku/>
        <w:wordWrap/>
        <w:overflowPunct/>
        <w:topLinePunct w:val="0"/>
        <w:autoSpaceDE/>
        <w:autoSpaceDN/>
        <w:bidi w:val="0"/>
        <w:adjustRightInd/>
        <w:snapToGrid w:val="0"/>
        <w:spacing w:line="312" w:lineRule="auto"/>
        <w:ind w:firstLine="442" w:firstLineChars="200"/>
        <w:jc w:val="both"/>
        <w:textAlignment w:val="auto"/>
        <w:rPr>
          <w:rFonts w:hint="eastAsia" w:ascii="宋体" w:hAnsi="宋体" w:eastAsia="宋体" w:cs="宋体"/>
          <w:b/>
          <w:bCs/>
          <w:snapToGrid/>
          <w:color w:val="auto"/>
          <w:kern w:val="2"/>
          <w:sz w:val="22"/>
          <w:szCs w:val="22"/>
          <w:highlight w:val="none"/>
          <w:lang w:eastAsia="zh-CN"/>
        </w:rPr>
      </w:pPr>
      <w:r>
        <w:rPr>
          <w:rFonts w:hint="eastAsia" w:ascii="宋体" w:hAnsi="宋体" w:eastAsia="宋体" w:cs="宋体"/>
          <w:b/>
          <w:bCs/>
          <w:snapToGrid/>
          <w:color w:val="auto"/>
          <w:kern w:val="2"/>
          <w:sz w:val="22"/>
          <w:szCs w:val="22"/>
          <w:highlight w:val="none"/>
          <w:lang w:val="en-US" w:eastAsia="zh-CN"/>
        </w:rPr>
        <w:t>2.</w:t>
      </w:r>
      <w:r>
        <w:rPr>
          <w:rFonts w:hint="eastAsia" w:ascii="宋体" w:hAnsi="宋体" w:eastAsia="宋体" w:cs="宋体"/>
          <w:b/>
          <w:bCs/>
          <w:snapToGrid/>
          <w:color w:val="auto"/>
          <w:kern w:val="2"/>
          <w:sz w:val="22"/>
          <w:szCs w:val="22"/>
          <w:highlight w:val="none"/>
          <w:lang w:eastAsia="zh-CN"/>
        </w:rPr>
        <w:t>1</w:t>
      </w:r>
      <w:r>
        <w:rPr>
          <w:rFonts w:hint="eastAsia" w:ascii="宋体" w:hAnsi="宋体" w:eastAsia="宋体" w:cs="宋体"/>
          <w:b/>
          <w:bCs/>
          <w:snapToGrid/>
          <w:color w:val="auto"/>
          <w:kern w:val="2"/>
          <w:sz w:val="22"/>
          <w:szCs w:val="22"/>
          <w:highlight w:val="none"/>
          <w:lang w:val="en-US" w:eastAsia="zh-CN"/>
        </w:rPr>
        <w:t xml:space="preserve"> </w:t>
      </w:r>
      <w:r>
        <w:rPr>
          <w:rFonts w:hint="eastAsia" w:ascii="宋体" w:hAnsi="宋体" w:eastAsia="宋体" w:cs="宋体"/>
          <w:b/>
          <w:bCs/>
          <w:snapToGrid/>
          <w:color w:val="auto"/>
          <w:kern w:val="2"/>
          <w:sz w:val="22"/>
          <w:szCs w:val="22"/>
          <w:highlight w:val="none"/>
          <w:lang w:eastAsia="zh-CN"/>
        </w:rPr>
        <w:t>质量标准</w:t>
      </w:r>
    </w:p>
    <w:p w14:paraId="3FB5E09E">
      <w:pPr>
        <w:keepNext w:val="0"/>
        <w:keepLines w:val="0"/>
        <w:pageBreakBefore w:val="0"/>
        <w:widowControl w:val="0"/>
        <w:kinsoku/>
        <w:wordWrap/>
        <w:overflowPunct/>
        <w:topLinePunct w:val="0"/>
        <w:autoSpaceDE/>
        <w:autoSpaceDN/>
        <w:bidi w:val="0"/>
        <w:adjustRightInd/>
        <w:snapToGrid/>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2.1</w:t>
      </w:r>
      <w:r>
        <w:rPr>
          <w:rFonts w:hint="eastAsia" w:ascii="宋体" w:hAnsi="宋体" w:eastAsia="宋体" w:cs="宋体"/>
          <w:snapToGrid/>
          <w:color w:val="auto"/>
          <w:kern w:val="2"/>
          <w:sz w:val="22"/>
          <w:szCs w:val="22"/>
          <w:highlight w:val="none"/>
          <w:lang w:val="en-US" w:eastAsia="zh-CN"/>
        </w:rPr>
        <w:t xml:space="preserve">.1 </w:t>
      </w:r>
      <w:r>
        <w:rPr>
          <w:rFonts w:hint="eastAsia" w:ascii="宋体" w:hAnsi="宋体" w:eastAsia="宋体" w:cs="宋体"/>
          <w:snapToGrid/>
          <w:color w:val="auto"/>
          <w:kern w:val="2"/>
          <w:sz w:val="22"/>
          <w:szCs w:val="22"/>
          <w:highlight w:val="none"/>
          <w:lang w:eastAsia="zh-CN"/>
        </w:rPr>
        <w:t>要求达到质量等级：合格标准。供应商配送给采购人所食用的烤肠、卤蛋、关东煮等小吃必须符合国家饮食卫生标准，同时保证食材新鲜，不得出现腐烂、变质，以次充好等情况；</w:t>
      </w:r>
    </w:p>
    <w:p w14:paraId="56F908B4">
      <w:pPr>
        <w:keepNext w:val="0"/>
        <w:keepLines w:val="0"/>
        <w:pageBreakBefore w:val="0"/>
        <w:widowControl w:val="0"/>
        <w:kinsoku/>
        <w:wordWrap/>
        <w:overflowPunct/>
        <w:topLinePunct w:val="0"/>
        <w:autoSpaceDE/>
        <w:autoSpaceDN/>
        <w:bidi w:val="0"/>
        <w:adjustRightInd/>
        <w:snapToGrid/>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2.1.2</w:t>
      </w:r>
      <w:r>
        <w:rPr>
          <w:rFonts w:hint="eastAsia" w:ascii="宋体" w:hAnsi="宋体" w:eastAsia="宋体" w:cs="宋体"/>
          <w:snapToGrid/>
          <w:color w:val="auto"/>
          <w:kern w:val="2"/>
          <w:sz w:val="22"/>
          <w:szCs w:val="22"/>
          <w:highlight w:val="none"/>
          <w:lang w:val="en-US" w:eastAsia="zh-CN"/>
        </w:rPr>
        <w:t xml:space="preserve"> </w:t>
      </w:r>
      <w:r>
        <w:rPr>
          <w:rFonts w:hint="eastAsia" w:ascii="宋体" w:hAnsi="宋体" w:eastAsia="宋体" w:cs="宋体"/>
          <w:snapToGrid/>
          <w:color w:val="auto"/>
          <w:kern w:val="2"/>
          <w:sz w:val="22"/>
          <w:szCs w:val="22"/>
          <w:highlight w:val="none"/>
          <w:lang w:eastAsia="zh-CN"/>
        </w:rPr>
        <w:t>供应商供应商品，按规定必须经由法定食品检验机构检测的商品，供应商应于采购人采购时向采购人提供同批次产品检验报告或合格证（复印件）；</w:t>
      </w:r>
    </w:p>
    <w:p w14:paraId="599BB5E8">
      <w:pPr>
        <w:keepNext w:val="0"/>
        <w:keepLines w:val="0"/>
        <w:pageBreakBefore w:val="0"/>
        <w:widowControl w:val="0"/>
        <w:kinsoku/>
        <w:wordWrap/>
        <w:overflowPunct/>
        <w:topLinePunct w:val="0"/>
        <w:autoSpaceDE/>
        <w:autoSpaceDN/>
        <w:bidi w:val="0"/>
        <w:adjustRightInd/>
        <w:snapToGrid/>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2.1.3</w:t>
      </w:r>
      <w:r>
        <w:rPr>
          <w:rFonts w:hint="eastAsia" w:ascii="宋体" w:hAnsi="宋体" w:eastAsia="宋体" w:cs="宋体"/>
          <w:snapToGrid/>
          <w:color w:val="auto"/>
          <w:kern w:val="2"/>
          <w:sz w:val="22"/>
          <w:szCs w:val="22"/>
          <w:highlight w:val="none"/>
          <w:lang w:val="en-US" w:eastAsia="zh-CN"/>
        </w:rPr>
        <w:t xml:space="preserve"> </w:t>
      </w:r>
      <w:r>
        <w:rPr>
          <w:rFonts w:hint="eastAsia" w:ascii="宋体" w:hAnsi="宋体" w:eastAsia="宋体" w:cs="宋体"/>
          <w:snapToGrid/>
          <w:color w:val="auto"/>
          <w:kern w:val="2"/>
          <w:sz w:val="22"/>
          <w:szCs w:val="22"/>
          <w:highlight w:val="none"/>
          <w:lang w:eastAsia="zh-CN"/>
        </w:rPr>
        <w:t>供应商应严格遵守《食品卫生法》和《动物检疫法》等相关规定，一经发现供应以下食品，除全部退货外，将取消供货单位的供货资格，没收全部履约保证金，供货单位并承担由此造成的经济责任和法律责任：</w:t>
      </w:r>
    </w:p>
    <w:p w14:paraId="35C46C66">
      <w:pPr>
        <w:keepNext w:val="0"/>
        <w:keepLines w:val="0"/>
        <w:pageBreakBefore w:val="0"/>
        <w:widowControl w:val="0"/>
        <w:kinsoku/>
        <w:wordWrap/>
        <w:overflowPunct/>
        <w:topLinePunct w:val="0"/>
        <w:autoSpaceDE/>
        <w:autoSpaceDN/>
        <w:bidi w:val="0"/>
        <w:adjustRightInd/>
        <w:snapToGrid/>
        <w:spacing w:line="312" w:lineRule="auto"/>
        <w:ind w:firstLine="48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1</w:t>
      </w:r>
      <w:r>
        <w:rPr>
          <w:rFonts w:hint="eastAsia" w:ascii="宋体" w:hAnsi="宋体" w:eastAsia="宋体" w:cs="宋体"/>
          <w:snapToGrid/>
          <w:color w:val="auto"/>
          <w:kern w:val="2"/>
          <w:sz w:val="22"/>
          <w:szCs w:val="22"/>
          <w:highlight w:val="none"/>
          <w:lang w:eastAsia="zh-CN"/>
        </w:rPr>
        <w:t>）腐败变质、油脂酸败、霉变、生虫、污秽不洁、混有异物或者其他感官性状异常，对人体健康有害的;</w:t>
      </w:r>
    </w:p>
    <w:p w14:paraId="41C8EF37">
      <w:pPr>
        <w:keepNext w:val="0"/>
        <w:keepLines w:val="0"/>
        <w:pageBreakBefore w:val="0"/>
        <w:widowControl w:val="0"/>
        <w:kinsoku/>
        <w:wordWrap/>
        <w:overflowPunct/>
        <w:topLinePunct w:val="0"/>
        <w:autoSpaceDE/>
        <w:autoSpaceDN/>
        <w:bidi w:val="0"/>
        <w:adjustRightInd/>
        <w:snapToGrid/>
        <w:spacing w:line="312" w:lineRule="auto"/>
        <w:ind w:firstLine="48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2</w:t>
      </w:r>
      <w:r>
        <w:rPr>
          <w:rFonts w:hint="eastAsia" w:ascii="宋体" w:hAnsi="宋体" w:eastAsia="宋体" w:cs="宋体"/>
          <w:snapToGrid/>
          <w:color w:val="auto"/>
          <w:kern w:val="2"/>
          <w:sz w:val="22"/>
          <w:szCs w:val="22"/>
          <w:highlight w:val="none"/>
          <w:lang w:eastAsia="zh-CN"/>
        </w:rPr>
        <w:t>）含有毒、有害物质或者被有害物质污染，对人体健康有害的;</w:t>
      </w:r>
    </w:p>
    <w:p w14:paraId="2E92F5CF">
      <w:pPr>
        <w:keepNext w:val="0"/>
        <w:keepLines w:val="0"/>
        <w:pageBreakBefore w:val="0"/>
        <w:widowControl w:val="0"/>
        <w:kinsoku/>
        <w:wordWrap/>
        <w:overflowPunct/>
        <w:topLinePunct w:val="0"/>
        <w:autoSpaceDE/>
        <w:autoSpaceDN/>
        <w:bidi w:val="0"/>
        <w:adjustRightInd/>
        <w:snapToGrid/>
        <w:spacing w:line="312" w:lineRule="auto"/>
        <w:ind w:firstLine="48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3</w:t>
      </w:r>
      <w:r>
        <w:rPr>
          <w:rFonts w:hint="eastAsia" w:ascii="宋体" w:hAnsi="宋体" w:eastAsia="宋体" w:cs="宋体"/>
          <w:snapToGrid/>
          <w:color w:val="auto"/>
          <w:kern w:val="2"/>
          <w:sz w:val="22"/>
          <w:szCs w:val="22"/>
          <w:highlight w:val="none"/>
          <w:lang w:eastAsia="zh-CN"/>
        </w:rPr>
        <w:t>）含有致病性寄生虫、微生物或者微生物含量超过国家限定标准的;</w:t>
      </w:r>
    </w:p>
    <w:p w14:paraId="72158640">
      <w:pPr>
        <w:keepNext w:val="0"/>
        <w:keepLines w:val="0"/>
        <w:pageBreakBefore w:val="0"/>
        <w:widowControl w:val="0"/>
        <w:kinsoku/>
        <w:wordWrap/>
        <w:overflowPunct/>
        <w:topLinePunct w:val="0"/>
        <w:autoSpaceDE/>
        <w:autoSpaceDN/>
        <w:bidi w:val="0"/>
        <w:adjustRightInd/>
        <w:snapToGrid/>
        <w:spacing w:line="312" w:lineRule="auto"/>
        <w:ind w:firstLine="48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4</w:t>
      </w:r>
      <w:r>
        <w:rPr>
          <w:rFonts w:hint="eastAsia" w:ascii="宋体" w:hAnsi="宋体" w:eastAsia="宋体" w:cs="宋体"/>
          <w:snapToGrid/>
          <w:color w:val="auto"/>
          <w:kern w:val="2"/>
          <w:sz w:val="22"/>
          <w:szCs w:val="22"/>
          <w:highlight w:val="none"/>
          <w:lang w:eastAsia="zh-CN"/>
        </w:rPr>
        <w:t>）未经动物检疫部门检疫、检验或者检疫、检验不合格的肉类及其制品;</w:t>
      </w:r>
    </w:p>
    <w:p w14:paraId="66C33E87">
      <w:pPr>
        <w:keepNext w:val="0"/>
        <w:keepLines w:val="0"/>
        <w:pageBreakBefore w:val="0"/>
        <w:widowControl w:val="0"/>
        <w:kinsoku/>
        <w:wordWrap/>
        <w:overflowPunct/>
        <w:topLinePunct w:val="0"/>
        <w:autoSpaceDE/>
        <w:autoSpaceDN/>
        <w:bidi w:val="0"/>
        <w:adjustRightInd/>
        <w:snapToGrid/>
        <w:spacing w:line="312" w:lineRule="auto"/>
        <w:ind w:firstLine="48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5</w:t>
      </w:r>
      <w:r>
        <w:rPr>
          <w:rFonts w:hint="eastAsia" w:ascii="宋体" w:hAnsi="宋体" w:eastAsia="宋体" w:cs="宋体"/>
          <w:snapToGrid/>
          <w:color w:val="auto"/>
          <w:kern w:val="2"/>
          <w:sz w:val="22"/>
          <w:szCs w:val="22"/>
          <w:highlight w:val="none"/>
          <w:lang w:eastAsia="zh-CN"/>
        </w:rPr>
        <w:t>）病死、毒死或者死因不明的禽、畜、兽、水产动物等及其制品;</w:t>
      </w:r>
    </w:p>
    <w:p w14:paraId="53A8E7DE">
      <w:pPr>
        <w:keepNext w:val="0"/>
        <w:keepLines w:val="0"/>
        <w:pageBreakBefore w:val="0"/>
        <w:widowControl w:val="0"/>
        <w:kinsoku/>
        <w:wordWrap/>
        <w:overflowPunct/>
        <w:topLinePunct w:val="0"/>
        <w:autoSpaceDE/>
        <w:autoSpaceDN/>
        <w:bidi w:val="0"/>
        <w:adjustRightInd/>
        <w:snapToGrid/>
        <w:spacing w:line="312" w:lineRule="auto"/>
        <w:ind w:firstLine="48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6</w:t>
      </w:r>
      <w:r>
        <w:rPr>
          <w:rFonts w:hint="eastAsia" w:ascii="宋体" w:hAnsi="宋体" w:eastAsia="宋体" w:cs="宋体"/>
          <w:snapToGrid/>
          <w:color w:val="auto"/>
          <w:kern w:val="2"/>
          <w:sz w:val="22"/>
          <w:szCs w:val="22"/>
          <w:highlight w:val="none"/>
          <w:lang w:eastAsia="zh-CN"/>
        </w:rPr>
        <w:t>）掺假、掺杂、伪造，影响营养、卫生的;</w:t>
      </w:r>
    </w:p>
    <w:p w14:paraId="48E8FCAE">
      <w:pPr>
        <w:keepNext w:val="0"/>
        <w:keepLines w:val="0"/>
        <w:pageBreakBefore w:val="0"/>
        <w:widowControl w:val="0"/>
        <w:kinsoku/>
        <w:wordWrap/>
        <w:overflowPunct/>
        <w:topLinePunct w:val="0"/>
        <w:autoSpaceDE/>
        <w:autoSpaceDN/>
        <w:bidi w:val="0"/>
        <w:adjustRightInd/>
        <w:snapToGrid/>
        <w:spacing w:line="312" w:lineRule="auto"/>
        <w:ind w:firstLine="48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7</w:t>
      </w:r>
      <w:r>
        <w:rPr>
          <w:rFonts w:hint="eastAsia" w:ascii="宋体" w:hAnsi="宋体" w:eastAsia="宋体" w:cs="宋体"/>
          <w:snapToGrid/>
          <w:color w:val="auto"/>
          <w:kern w:val="2"/>
          <w:sz w:val="22"/>
          <w:szCs w:val="22"/>
          <w:highlight w:val="none"/>
          <w:lang w:eastAsia="zh-CN"/>
        </w:rPr>
        <w:t>）用非食品原料加工的，加入非食品用化学物质或者将非食品当作食品的;</w:t>
      </w:r>
    </w:p>
    <w:p w14:paraId="77A1D80B">
      <w:pPr>
        <w:keepNext w:val="0"/>
        <w:keepLines w:val="0"/>
        <w:pageBreakBefore w:val="0"/>
        <w:widowControl w:val="0"/>
        <w:kinsoku/>
        <w:wordWrap/>
        <w:overflowPunct/>
        <w:topLinePunct w:val="0"/>
        <w:autoSpaceDE/>
        <w:autoSpaceDN/>
        <w:bidi w:val="0"/>
        <w:adjustRightInd/>
        <w:snapToGrid/>
        <w:spacing w:line="312" w:lineRule="auto"/>
        <w:ind w:firstLine="48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8</w:t>
      </w:r>
      <w:r>
        <w:rPr>
          <w:rFonts w:hint="eastAsia" w:ascii="宋体" w:hAnsi="宋体" w:eastAsia="宋体" w:cs="宋体"/>
          <w:snapToGrid/>
          <w:color w:val="auto"/>
          <w:kern w:val="2"/>
          <w:sz w:val="22"/>
          <w:szCs w:val="22"/>
          <w:highlight w:val="none"/>
          <w:lang w:eastAsia="zh-CN"/>
        </w:rPr>
        <w:t>）超过保质期限的。</w:t>
      </w:r>
    </w:p>
    <w:p w14:paraId="44539B98">
      <w:pPr>
        <w:keepNext w:val="0"/>
        <w:keepLines w:val="0"/>
        <w:pageBreakBefore w:val="0"/>
        <w:widowControl w:val="0"/>
        <w:kinsoku/>
        <w:wordWrap/>
        <w:overflowPunct/>
        <w:topLinePunct w:val="0"/>
        <w:autoSpaceDE/>
        <w:autoSpaceDN/>
        <w:bidi w:val="0"/>
        <w:adjustRightInd/>
        <w:snapToGrid/>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2.1.4</w:t>
      </w:r>
      <w:r>
        <w:rPr>
          <w:rFonts w:hint="eastAsia" w:ascii="宋体" w:hAnsi="宋体" w:eastAsia="宋体" w:cs="宋体"/>
          <w:snapToGrid/>
          <w:color w:val="auto"/>
          <w:kern w:val="2"/>
          <w:sz w:val="22"/>
          <w:szCs w:val="22"/>
          <w:highlight w:val="none"/>
          <w:lang w:val="en-US" w:eastAsia="zh-CN"/>
        </w:rPr>
        <w:t xml:space="preserve"> </w:t>
      </w:r>
      <w:r>
        <w:rPr>
          <w:rFonts w:hint="eastAsia" w:ascii="宋体" w:hAnsi="宋体" w:eastAsia="宋体" w:cs="宋体"/>
          <w:snapToGrid/>
          <w:color w:val="auto"/>
          <w:kern w:val="2"/>
          <w:sz w:val="22"/>
          <w:szCs w:val="22"/>
          <w:highlight w:val="none"/>
          <w:lang w:eastAsia="zh-CN"/>
        </w:rPr>
        <w:t>供应商须确保所提供的品牌货物均为正品，不存在贴牌、随意包装等现象。</w:t>
      </w:r>
    </w:p>
    <w:p w14:paraId="7616EDA2">
      <w:pPr>
        <w:keepNext w:val="0"/>
        <w:keepLines w:val="0"/>
        <w:pageBreakBefore w:val="0"/>
        <w:widowControl w:val="0"/>
        <w:kinsoku/>
        <w:wordWrap/>
        <w:overflowPunct/>
        <w:topLinePunct w:val="0"/>
        <w:autoSpaceDE/>
        <w:autoSpaceDN/>
        <w:bidi w:val="0"/>
        <w:adjustRightInd/>
        <w:snapToGrid/>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2.1.5</w:t>
      </w:r>
      <w:r>
        <w:rPr>
          <w:rFonts w:hint="eastAsia" w:ascii="宋体" w:hAnsi="宋体" w:eastAsia="宋体" w:cs="宋体"/>
          <w:snapToGrid/>
          <w:color w:val="auto"/>
          <w:kern w:val="2"/>
          <w:sz w:val="22"/>
          <w:szCs w:val="22"/>
          <w:highlight w:val="none"/>
          <w:lang w:val="en-US" w:eastAsia="zh-CN"/>
        </w:rPr>
        <w:t xml:space="preserve"> </w:t>
      </w:r>
      <w:r>
        <w:rPr>
          <w:rFonts w:hint="eastAsia" w:ascii="宋体" w:hAnsi="宋体" w:eastAsia="宋体" w:cs="宋体"/>
          <w:snapToGrid/>
          <w:color w:val="auto"/>
          <w:kern w:val="2"/>
          <w:sz w:val="22"/>
          <w:szCs w:val="22"/>
          <w:highlight w:val="none"/>
          <w:lang w:eastAsia="zh-CN"/>
        </w:rPr>
        <w:t>供应商保证所提供的副食品的多样性，以保证新鲜感。</w:t>
      </w:r>
    </w:p>
    <w:p w14:paraId="38327CE7">
      <w:pPr>
        <w:keepNext w:val="0"/>
        <w:keepLines w:val="0"/>
        <w:pageBreakBefore w:val="0"/>
        <w:widowControl w:val="0"/>
        <w:tabs>
          <w:tab w:val="left" w:pos="312"/>
        </w:tabs>
        <w:kinsoku/>
        <w:wordWrap/>
        <w:overflowPunct/>
        <w:topLinePunct w:val="0"/>
        <w:autoSpaceDE/>
        <w:autoSpaceDN/>
        <w:bidi w:val="0"/>
        <w:adjustRightInd/>
        <w:snapToGrid w:val="0"/>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2.1.6</w:t>
      </w:r>
      <w:r>
        <w:rPr>
          <w:rFonts w:hint="eastAsia" w:ascii="宋体" w:hAnsi="宋体" w:eastAsia="宋体" w:cs="宋体"/>
          <w:snapToGrid/>
          <w:color w:val="auto"/>
          <w:kern w:val="2"/>
          <w:sz w:val="22"/>
          <w:szCs w:val="22"/>
          <w:highlight w:val="none"/>
          <w:lang w:val="en-US" w:eastAsia="zh-CN"/>
        </w:rPr>
        <w:t xml:space="preserve"> </w:t>
      </w:r>
      <w:r>
        <w:rPr>
          <w:rFonts w:hint="eastAsia" w:ascii="宋体" w:hAnsi="宋体" w:eastAsia="宋体" w:cs="宋体"/>
          <w:snapToGrid/>
          <w:color w:val="auto"/>
          <w:kern w:val="2"/>
          <w:sz w:val="22"/>
          <w:szCs w:val="22"/>
          <w:highlight w:val="none"/>
          <w:lang w:eastAsia="zh-CN"/>
        </w:rPr>
        <w:t>所有货品都要注明来源。否则，采购人有权退货，供应商必须在采购人规定时间内予以退换补货。</w:t>
      </w:r>
    </w:p>
    <w:p w14:paraId="2D8F3B41">
      <w:pPr>
        <w:keepNext w:val="0"/>
        <w:keepLines w:val="0"/>
        <w:pageBreakBefore w:val="0"/>
        <w:widowControl w:val="0"/>
        <w:tabs>
          <w:tab w:val="left" w:pos="312"/>
        </w:tabs>
        <w:kinsoku/>
        <w:wordWrap/>
        <w:overflowPunct/>
        <w:topLinePunct w:val="0"/>
        <w:autoSpaceDE/>
        <w:autoSpaceDN/>
        <w:bidi w:val="0"/>
        <w:adjustRightInd/>
        <w:snapToGrid w:val="0"/>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2.1.7</w:t>
      </w:r>
      <w:r>
        <w:rPr>
          <w:rFonts w:hint="eastAsia" w:ascii="宋体" w:hAnsi="宋体" w:eastAsia="宋体" w:cs="宋体"/>
          <w:snapToGrid/>
          <w:color w:val="auto"/>
          <w:kern w:val="2"/>
          <w:sz w:val="22"/>
          <w:szCs w:val="22"/>
          <w:highlight w:val="none"/>
          <w:lang w:val="en-US" w:eastAsia="zh-CN"/>
        </w:rPr>
        <w:t xml:space="preserve"> </w:t>
      </w:r>
      <w:r>
        <w:rPr>
          <w:rFonts w:hint="eastAsia" w:ascii="宋体" w:hAnsi="宋体" w:eastAsia="宋体" w:cs="宋体"/>
          <w:snapToGrid/>
          <w:color w:val="auto"/>
          <w:kern w:val="2"/>
          <w:sz w:val="22"/>
          <w:szCs w:val="22"/>
          <w:highlight w:val="none"/>
          <w:lang w:eastAsia="zh-CN"/>
        </w:rPr>
        <w:t>一次送货时，要将卫生检验报告随同交到采购人指定的负责人手中。</w:t>
      </w:r>
    </w:p>
    <w:p w14:paraId="2791EB21">
      <w:pPr>
        <w:keepNext w:val="0"/>
        <w:keepLines w:val="0"/>
        <w:pageBreakBefore w:val="0"/>
        <w:widowControl w:val="0"/>
        <w:tabs>
          <w:tab w:val="left" w:pos="312"/>
        </w:tabs>
        <w:kinsoku/>
        <w:wordWrap/>
        <w:overflowPunct/>
        <w:topLinePunct w:val="0"/>
        <w:autoSpaceDE/>
        <w:autoSpaceDN/>
        <w:bidi w:val="0"/>
        <w:adjustRightInd/>
        <w:snapToGrid w:val="0"/>
        <w:spacing w:line="312" w:lineRule="auto"/>
        <w:ind w:firstLine="440" w:firstLineChars="200"/>
        <w:jc w:val="both"/>
        <w:textAlignment w:val="auto"/>
        <w:rPr>
          <w:rFonts w:hint="eastAsia" w:ascii="Calibri" w:hAnsi="Calibri" w:eastAsia="宋体" w:cs="Times New Roman"/>
          <w:snapToGrid/>
          <w:color w:val="auto"/>
          <w:kern w:val="2"/>
          <w:szCs w:val="20"/>
          <w:highlight w:val="none"/>
          <w:lang w:eastAsia="zh-CN"/>
        </w:rPr>
      </w:pPr>
      <w:r>
        <w:rPr>
          <w:rFonts w:hint="eastAsia" w:ascii="宋体" w:hAnsi="宋体" w:eastAsia="宋体" w:cs="宋体"/>
          <w:snapToGrid/>
          <w:color w:val="auto"/>
          <w:kern w:val="2"/>
          <w:sz w:val="22"/>
          <w:szCs w:val="22"/>
          <w:highlight w:val="none"/>
          <w:lang w:eastAsia="zh-CN"/>
        </w:rPr>
        <w:t>2.1.8</w:t>
      </w:r>
      <w:r>
        <w:rPr>
          <w:rFonts w:hint="eastAsia" w:ascii="宋体" w:hAnsi="宋体" w:eastAsia="宋体" w:cs="宋体"/>
          <w:snapToGrid/>
          <w:color w:val="auto"/>
          <w:kern w:val="2"/>
          <w:sz w:val="22"/>
          <w:szCs w:val="22"/>
          <w:highlight w:val="none"/>
          <w:lang w:val="en-US" w:eastAsia="zh-CN"/>
        </w:rPr>
        <w:t xml:space="preserve"> </w:t>
      </w:r>
      <w:r>
        <w:rPr>
          <w:rFonts w:hint="eastAsia" w:ascii="宋体" w:hAnsi="宋体" w:eastAsia="宋体" w:cs="宋体"/>
          <w:snapToGrid/>
          <w:color w:val="auto"/>
          <w:kern w:val="2"/>
          <w:sz w:val="22"/>
          <w:szCs w:val="22"/>
          <w:highlight w:val="none"/>
          <w:lang w:eastAsia="zh-CN"/>
        </w:rPr>
        <w:t>供应商须严格按照采购人的指令配送商品的数量，不得随意增减数量，否则，采购人有权拒收。如因市场流通问题确实需要变更的，应事先书面申请，并经采购人同意后方可改变。</w:t>
      </w:r>
    </w:p>
    <w:p w14:paraId="54918C57">
      <w:pPr>
        <w:keepNext w:val="0"/>
        <w:keepLines w:val="0"/>
        <w:pageBreakBefore w:val="0"/>
        <w:widowControl w:val="0"/>
        <w:kinsoku/>
        <w:wordWrap/>
        <w:overflowPunct/>
        <w:topLinePunct w:val="0"/>
        <w:autoSpaceDE/>
        <w:autoSpaceDN/>
        <w:bidi w:val="0"/>
        <w:adjustRightInd/>
        <w:snapToGrid/>
        <w:spacing w:line="312" w:lineRule="auto"/>
        <w:ind w:firstLine="440" w:firstLineChars="200"/>
        <w:jc w:val="both"/>
        <w:textAlignment w:val="auto"/>
        <w:rPr>
          <w:rFonts w:hint="eastAsia" w:ascii="宋体" w:hAnsi="宋体" w:eastAsia="宋体" w:cs="宋体"/>
          <w:b w:val="0"/>
          <w:bCs/>
          <w:snapToGrid/>
          <w:color w:val="auto"/>
          <w:kern w:val="2"/>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2.1.</w:t>
      </w:r>
      <w:r>
        <w:rPr>
          <w:rFonts w:hint="eastAsia" w:ascii="宋体" w:hAnsi="宋体" w:eastAsia="宋体" w:cs="宋体"/>
          <w:b w:val="0"/>
          <w:bCs/>
          <w:snapToGrid/>
          <w:color w:val="auto"/>
          <w:kern w:val="2"/>
          <w:sz w:val="22"/>
          <w:szCs w:val="22"/>
          <w:highlight w:val="none"/>
          <w:lang w:val="en-US" w:eastAsia="zh-CN"/>
        </w:rPr>
        <w:t>9</w:t>
      </w:r>
      <w:r>
        <w:rPr>
          <w:rFonts w:hint="eastAsia" w:ascii="宋体" w:hAnsi="宋体" w:eastAsia="宋体" w:cs="宋体"/>
          <w:b w:val="0"/>
          <w:bCs/>
          <w:snapToGrid/>
          <w:color w:val="auto"/>
          <w:kern w:val="2"/>
          <w:sz w:val="22"/>
          <w:szCs w:val="22"/>
          <w:highlight w:val="none"/>
          <w:lang w:eastAsia="zh-CN"/>
        </w:rPr>
        <w:t>品质要求：</w:t>
      </w:r>
    </w:p>
    <w:p w14:paraId="2D382DD9">
      <w:pPr>
        <w:keepNext w:val="0"/>
        <w:keepLines w:val="0"/>
        <w:pageBreakBefore w:val="0"/>
        <w:widowControl w:val="0"/>
        <w:kinsoku/>
        <w:wordWrap/>
        <w:overflowPunct/>
        <w:topLinePunct w:val="0"/>
        <w:autoSpaceDE/>
        <w:autoSpaceDN/>
        <w:bidi w:val="0"/>
        <w:adjustRightInd/>
        <w:snapToGrid/>
        <w:spacing w:line="312" w:lineRule="auto"/>
        <w:ind w:left="0" w:leftChars="0" w:firstLine="385" w:firstLineChars="175"/>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1</w:t>
      </w:r>
      <w:r>
        <w:rPr>
          <w:rFonts w:hint="eastAsia" w:ascii="宋体" w:hAnsi="宋体" w:eastAsia="宋体" w:cs="宋体"/>
          <w:snapToGrid/>
          <w:color w:val="auto"/>
          <w:kern w:val="2"/>
          <w:sz w:val="22"/>
          <w:szCs w:val="22"/>
          <w:highlight w:val="none"/>
          <w:lang w:eastAsia="zh-CN"/>
        </w:rPr>
        <w:t>）基本要求：外包装完好，有QS标志，标明品名、厂名、重量、生产日期、保质期或保存期、执行标准，剩余保质期不少于三分之二，具有产品合格证。具有正常副食品的色泽、透明度、气味和滋味，无焦臭、酸败及其他异味。</w:t>
      </w:r>
    </w:p>
    <w:p w14:paraId="00CBCB0A">
      <w:pPr>
        <w:keepNext w:val="0"/>
        <w:keepLines w:val="0"/>
        <w:pageBreakBefore w:val="0"/>
        <w:widowControl w:val="0"/>
        <w:kinsoku/>
        <w:wordWrap/>
        <w:overflowPunct/>
        <w:topLinePunct w:val="0"/>
        <w:autoSpaceDE/>
        <w:autoSpaceDN/>
        <w:bidi w:val="0"/>
        <w:adjustRightInd/>
        <w:snapToGrid/>
        <w:spacing w:line="312" w:lineRule="auto"/>
        <w:ind w:left="0" w:leftChars="0" w:firstLine="385" w:firstLineChars="175"/>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2</w:t>
      </w:r>
      <w:r>
        <w:rPr>
          <w:rFonts w:hint="eastAsia" w:ascii="宋体" w:hAnsi="宋体" w:eastAsia="宋体" w:cs="宋体"/>
          <w:snapToGrid/>
          <w:color w:val="auto"/>
          <w:kern w:val="2"/>
          <w:sz w:val="22"/>
          <w:szCs w:val="22"/>
          <w:highlight w:val="none"/>
          <w:lang w:eastAsia="zh-CN"/>
        </w:rPr>
        <w:t>）副食品商品生产企业的资质证明：《企业营业执照》《</w:t>
      </w:r>
      <w:r>
        <w:rPr>
          <w:rFonts w:hint="eastAsia" w:ascii="宋体" w:hAnsi="宋体" w:eastAsia="宋体" w:cs="宋体"/>
          <w:snapToGrid/>
          <w:color w:val="auto"/>
          <w:kern w:val="2"/>
          <w:sz w:val="22"/>
          <w:szCs w:val="22"/>
          <w:highlight w:val="none"/>
          <w:lang w:val="en-US" w:eastAsia="zh-CN"/>
        </w:rPr>
        <w:t>生产许可证</w:t>
      </w:r>
      <w:r>
        <w:rPr>
          <w:rFonts w:hint="eastAsia" w:ascii="宋体" w:hAnsi="宋体" w:eastAsia="宋体" w:cs="宋体"/>
          <w:snapToGrid/>
          <w:color w:val="auto"/>
          <w:kern w:val="2"/>
          <w:sz w:val="22"/>
          <w:szCs w:val="22"/>
          <w:highlight w:val="none"/>
          <w:lang w:eastAsia="zh-CN"/>
        </w:rPr>
        <w:t>》</w:t>
      </w:r>
    </w:p>
    <w:p w14:paraId="5F5D1EB9">
      <w:pPr>
        <w:keepNext w:val="0"/>
        <w:keepLines w:val="0"/>
        <w:pageBreakBefore w:val="0"/>
        <w:widowControl w:val="0"/>
        <w:kinsoku/>
        <w:wordWrap/>
        <w:overflowPunct/>
        <w:topLinePunct w:val="0"/>
        <w:autoSpaceDE/>
        <w:autoSpaceDN/>
        <w:bidi w:val="0"/>
        <w:adjustRightInd/>
        <w:snapToGrid/>
        <w:spacing w:line="312" w:lineRule="auto"/>
        <w:ind w:left="0" w:leftChars="0" w:firstLine="385" w:firstLineChars="175"/>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3</w:t>
      </w:r>
      <w:r>
        <w:rPr>
          <w:rFonts w:hint="eastAsia" w:ascii="宋体" w:hAnsi="宋体" w:eastAsia="宋体" w:cs="宋体"/>
          <w:snapToGrid/>
          <w:color w:val="auto"/>
          <w:kern w:val="2"/>
          <w:sz w:val="22"/>
          <w:szCs w:val="22"/>
          <w:highlight w:val="none"/>
          <w:lang w:eastAsia="zh-CN"/>
        </w:rPr>
        <w:t>）气味、滋味：具有固有的气味和滋味，无异味</w:t>
      </w:r>
    </w:p>
    <w:p w14:paraId="377A992A">
      <w:pPr>
        <w:keepNext w:val="0"/>
        <w:keepLines w:val="0"/>
        <w:pageBreakBefore w:val="0"/>
        <w:widowControl w:val="0"/>
        <w:kinsoku/>
        <w:wordWrap/>
        <w:overflowPunct/>
        <w:topLinePunct w:val="0"/>
        <w:autoSpaceDE/>
        <w:autoSpaceDN/>
        <w:bidi w:val="0"/>
        <w:adjustRightInd/>
        <w:snapToGrid/>
        <w:spacing w:line="312" w:lineRule="auto"/>
        <w:ind w:left="0" w:leftChars="0" w:firstLine="385" w:firstLineChars="175"/>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4</w:t>
      </w:r>
      <w:r>
        <w:rPr>
          <w:rFonts w:hint="eastAsia" w:ascii="宋体" w:hAnsi="宋体" w:eastAsia="宋体" w:cs="宋体"/>
          <w:snapToGrid/>
          <w:color w:val="auto"/>
          <w:kern w:val="2"/>
          <w:sz w:val="22"/>
          <w:szCs w:val="22"/>
          <w:highlight w:val="none"/>
          <w:lang w:eastAsia="zh-CN"/>
        </w:rPr>
        <w:t>）卫生标准和动植物检疫项目，按照国家有关规定执行</w:t>
      </w:r>
    </w:p>
    <w:p w14:paraId="74CC3B98">
      <w:pPr>
        <w:keepNext w:val="0"/>
        <w:keepLines w:val="0"/>
        <w:pageBreakBefore w:val="0"/>
        <w:widowControl w:val="0"/>
        <w:kinsoku/>
        <w:wordWrap/>
        <w:overflowPunct/>
        <w:topLinePunct w:val="0"/>
        <w:autoSpaceDE/>
        <w:autoSpaceDN/>
        <w:bidi w:val="0"/>
        <w:adjustRightInd/>
        <w:snapToGrid/>
        <w:spacing w:line="312" w:lineRule="auto"/>
        <w:ind w:left="0" w:leftChars="0" w:firstLine="385" w:firstLineChars="175"/>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5</w:t>
      </w:r>
      <w:r>
        <w:rPr>
          <w:rFonts w:hint="eastAsia" w:ascii="宋体" w:hAnsi="宋体" w:eastAsia="宋体" w:cs="宋体"/>
          <w:snapToGrid/>
          <w:color w:val="auto"/>
          <w:kern w:val="2"/>
          <w:sz w:val="22"/>
          <w:szCs w:val="22"/>
          <w:highlight w:val="none"/>
          <w:lang w:eastAsia="zh-CN"/>
        </w:rPr>
        <w:t>）《产品质量检验报告》由政府产品质量监督部门出具，每季度一次。</w:t>
      </w:r>
    </w:p>
    <w:p w14:paraId="4205A1E8">
      <w:pPr>
        <w:keepNext w:val="0"/>
        <w:keepLines w:val="0"/>
        <w:pageBreakBefore w:val="0"/>
        <w:widowControl w:val="0"/>
        <w:kinsoku/>
        <w:wordWrap/>
        <w:overflowPunct/>
        <w:topLinePunct w:val="0"/>
        <w:autoSpaceDE/>
        <w:autoSpaceDN/>
        <w:bidi w:val="0"/>
        <w:adjustRightInd/>
        <w:snapToGrid/>
        <w:spacing w:line="312" w:lineRule="auto"/>
        <w:ind w:left="0" w:leftChars="0" w:firstLine="385" w:firstLineChars="175"/>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6</w:t>
      </w:r>
      <w:r>
        <w:rPr>
          <w:rFonts w:hint="eastAsia" w:ascii="宋体" w:hAnsi="宋体" w:eastAsia="宋体" w:cs="宋体"/>
          <w:snapToGrid/>
          <w:color w:val="auto"/>
          <w:kern w:val="2"/>
          <w:sz w:val="22"/>
          <w:szCs w:val="22"/>
          <w:highlight w:val="none"/>
          <w:lang w:eastAsia="zh-CN"/>
        </w:rPr>
        <w:t>）《出厂检验报告》交货时提供本批次产品的出厂（库）检验合格报告单。</w:t>
      </w:r>
    </w:p>
    <w:p w14:paraId="39DBE99E">
      <w:pPr>
        <w:keepNext w:val="0"/>
        <w:keepLines w:val="0"/>
        <w:pageBreakBefore w:val="0"/>
        <w:widowControl w:val="0"/>
        <w:kinsoku/>
        <w:wordWrap/>
        <w:overflowPunct/>
        <w:topLinePunct w:val="0"/>
        <w:autoSpaceDE/>
        <w:autoSpaceDN/>
        <w:bidi w:val="0"/>
        <w:adjustRightInd/>
        <w:snapToGrid w:val="0"/>
        <w:spacing w:line="312" w:lineRule="auto"/>
        <w:ind w:left="0" w:leftChars="0" w:firstLine="442"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b/>
          <w:snapToGrid/>
          <w:color w:val="auto"/>
          <w:kern w:val="2"/>
          <w:sz w:val="22"/>
          <w:szCs w:val="22"/>
          <w:highlight w:val="none"/>
          <w:lang w:eastAsia="zh-CN"/>
        </w:rPr>
        <w:t>2.2保质期：</w:t>
      </w:r>
      <w:r>
        <w:rPr>
          <w:rFonts w:hint="eastAsia" w:ascii="宋体" w:hAnsi="宋体" w:eastAsia="宋体" w:cs="宋体"/>
          <w:snapToGrid/>
          <w:color w:val="auto"/>
          <w:kern w:val="2"/>
          <w:sz w:val="22"/>
          <w:szCs w:val="22"/>
          <w:highlight w:val="none"/>
          <w:lang w:eastAsia="zh-CN"/>
        </w:rPr>
        <w:t>包装产品至少要在保质期限70%之内。</w:t>
      </w:r>
    </w:p>
    <w:p w14:paraId="31EE9D90">
      <w:pPr>
        <w:widowControl w:val="0"/>
        <w:kinsoku/>
        <w:autoSpaceDE/>
        <w:autoSpaceDN/>
        <w:adjustRightInd/>
        <w:snapToGrid/>
        <w:spacing w:line="312" w:lineRule="auto"/>
        <w:ind w:firstLine="442" w:firstLineChars="200"/>
        <w:jc w:val="both"/>
        <w:textAlignment w:val="auto"/>
        <w:rPr>
          <w:rFonts w:hint="eastAsia" w:ascii="宋体" w:hAnsi="宋体" w:eastAsia="宋体" w:cs="宋体"/>
          <w:b w:val="0"/>
          <w:bCs/>
          <w:snapToGrid/>
          <w:color w:val="auto"/>
          <w:kern w:val="2"/>
          <w:sz w:val="22"/>
          <w:szCs w:val="22"/>
          <w:highlight w:val="none"/>
          <w:lang w:val="en-US" w:eastAsia="zh-CN"/>
        </w:rPr>
      </w:pPr>
      <w:r>
        <w:rPr>
          <w:rFonts w:hint="eastAsia" w:ascii="宋体" w:hAnsi="宋体" w:eastAsia="宋体" w:cs="宋体"/>
          <w:b/>
          <w:snapToGrid/>
          <w:color w:val="auto"/>
          <w:kern w:val="2"/>
          <w:sz w:val="22"/>
          <w:szCs w:val="22"/>
          <w:highlight w:val="none"/>
          <w:lang w:eastAsia="zh-CN"/>
        </w:rPr>
        <w:t>2.</w:t>
      </w:r>
      <w:r>
        <w:rPr>
          <w:rFonts w:hint="eastAsia" w:ascii="宋体" w:hAnsi="宋体" w:eastAsia="宋体" w:cs="宋体"/>
          <w:b/>
          <w:snapToGrid/>
          <w:color w:val="auto"/>
          <w:kern w:val="2"/>
          <w:sz w:val="22"/>
          <w:szCs w:val="22"/>
          <w:highlight w:val="none"/>
          <w:lang w:val="en-US" w:eastAsia="zh-CN"/>
        </w:rPr>
        <w:t>3</w:t>
      </w:r>
      <w:r>
        <w:rPr>
          <w:rFonts w:hint="eastAsia" w:ascii="宋体" w:hAnsi="宋体" w:eastAsia="宋体" w:cs="宋体"/>
          <w:b/>
          <w:snapToGrid/>
          <w:color w:val="auto"/>
          <w:kern w:val="2"/>
          <w:sz w:val="22"/>
          <w:szCs w:val="22"/>
          <w:highlight w:val="none"/>
          <w:lang w:eastAsia="zh-CN"/>
        </w:rPr>
        <w:t>应急服务</w:t>
      </w: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乙方</w:t>
      </w:r>
      <w:r>
        <w:rPr>
          <w:rFonts w:hint="eastAsia" w:ascii="宋体" w:hAnsi="宋体" w:eastAsia="宋体" w:cs="宋体"/>
          <w:snapToGrid/>
          <w:color w:val="auto"/>
          <w:kern w:val="2"/>
          <w:sz w:val="22"/>
          <w:szCs w:val="22"/>
          <w:highlight w:val="none"/>
          <w:lang w:eastAsia="zh-CN"/>
        </w:rPr>
        <w:t>按照甲方提供的食材采购单上的内容提前准备货品，以甲方实际收货时间为准送至甲方指定地点，如遇特殊情况（雨雪天气，封路等情况）双方需提前告知对方。（应急服务包括：快速响应机制、库存调配机制、</w:t>
      </w:r>
      <w:r>
        <w:rPr>
          <w:rFonts w:hint="eastAsia" w:ascii="Times New Roman" w:hAnsi="Times New Roman" w:eastAsia="宋体" w:cs="Times New Roman"/>
          <w:snapToGrid/>
          <w:color w:val="auto"/>
          <w:kern w:val="2"/>
          <w:szCs w:val="21"/>
          <w:highlight w:val="none"/>
          <w:lang w:eastAsia="zh-CN"/>
        </w:rPr>
        <w:t>临时突发性特殊采购、食品安全事故解决方案等</w:t>
      </w:r>
      <w:r>
        <w:rPr>
          <w:rFonts w:hint="eastAsia" w:ascii="宋体" w:hAnsi="宋体" w:eastAsia="宋体" w:cs="宋体"/>
          <w:snapToGrid/>
          <w:color w:val="auto"/>
          <w:kern w:val="2"/>
          <w:sz w:val="22"/>
          <w:szCs w:val="22"/>
          <w:highlight w:val="none"/>
          <w:lang w:eastAsia="zh-CN"/>
        </w:rPr>
        <w:t>）</w:t>
      </w:r>
    </w:p>
    <w:p w14:paraId="100D2591">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12" w:lineRule="auto"/>
        <w:ind w:leftChars="0" w:firstLine="442" w:firstLineChars="200"/>
        <w:jc w:val="both"/>
        <w:textAlignment w:val="auto"/>
        <w:rPr>
          <w:rFonts w:hint="eastAsia" w:ascii="宋体" w:hAnsi="宋体" w:eastAsia="宋体" w:cs="宋体"/>
          <w:b/>
          <w:bCs/>
          <w:snapToGrid/>
          <w:color w:val="auto"/>
          <w:kern w:val="2"/>
          <w:sz w:val="22"/>
          <w:szCs w:val="22"/>
          <w:highlight w:val="none"/>
          <w:lang w:eastAsia="zh-CN"/>
        </w:rPr>
      </w:pPr>
      <w:r>
        <w:rPr>
          <w:rFonts w:hint="eastAsia" w:ascii="宋体" w:hAnsi="宋体" w:eastAsia="宋体" w:cs="宋体"/>
          <w:b/>
          <w:bCs/>
          <w:snapToGrid/>
          <w:color w:val="auto"/>
          <w:kern w:val="2"/>
          <w:sz w:val="22"/>
          <w:szCs w:val="22"/>
          <w:highlight w:val="none"/>
          <w:lang w:val="en-US" w:eastAsia="zh-CN"/>
        </w:rPr>
        <w:t>4、</w:t>
      </w:r>
      <w:r>
        <w:rPr>
          <w:rFonts w:hint="eastAsia" w:ascii="宋体" w:hAnsi="宋体" w:eastAsia="宋体" w:cs="宋体"/>
          <w:b/>
          <w:bCs/>
          <w:snapToGrid/>
          <w:color w:val="auto"/>
          <w:kern w:val="2"/>
          <w:sz w:val="22"/>
          <w:szCs w:val="22"/>
          <w:highlight w:val="none"/>
          <w:lang w:eastAsia="zh-CN"/>
        </w:rPr>
        <w:t>包装及运输</w:t>
      </w:r>
    </w:p>
    <w:p w14:paraId="4F579F09">
      <w:pPr>
        <w:keepNext w:val="0"/>
        <w:keepLines w:val="0"/>
        <w:pageBreakBefore w:val="0"/>
        <w:widowControl w:val="0"/>
        <w:kinsoku/>
        <w:wordWrap/>
        <w:overflowPunct/>
        <w:topLinePunct w:val="0"/>
        <w:autoSpaceDE/>
        <w:autoSpaceDN/>
        <w:bidi w:val="0"/>
        <w:adjustRightInd/>
        <w:snapToGrid w:val="0"/>
        <w:spacing w:line="312" w:lineRule="auto"/>
        <w:ind w:left="5" w:leftChars="0" w:firstLine="415" w:firstLineChars="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4.1供应商必须负责中标货物的初加工、运输、搬运等工作，所产生的费用由供应商负责；</w:t>
      </w:r>
    </w:p>
    <w:p w14:paraId="1E488ECD">
      <w:pPr>
        <w:keepNext w:val="0"/>
        <w:keepLines w:val="0"/>
        <w:pageBreakBefore w:val="0"/>
        <w:widowControl w:val="0"/>
        <w:kinsoku/>
        <w:wordWrap/>
        <w:overflowPunct/>
        <w:topLinePunct w:val="0"/>
        <w:autoSpaceDE/>
        <w:autoSpaceDN/>
        <w:bidi w:val="0"/>
        <w:adjustRightInd/>
        <w:snapToGrid w:val="0"/>
        <w:spacing w:line="312" w:lineRule="auto"/>
        <w:ind w:left="5" w:leftChars="0" w:firstLine="415" w:firstLineChars="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4.2货物有包装的，货物的包装必须完整清洁（无损、无污、无皱），采购人有权拒收包装不整齐、已拆封的商品；</w:t>
      </w:r>
    </w:p>
    <w:p w14:paraId="52246A87">
      <w:pPr>
        <w:keepNext w:val="0"/>
        <w:keepLines w:val="0"/>
        <w:pageBreakBefore w:val="0"/>
        <w:widowControl w:val="0"/>
        <w:kinsoku/>
        <w:wordWrap/>
        <w:overflowPunct/>
        <w:topLinePunct w:val="0"/>
        <w:autoSpaceDE/>
        <w:autoSpaceDN/>
        <w:bidi w:val="0"/>
        <w:adjustRightInd/>
        <w:snapToGrid w:val="0"/>
        <w:spacing w:line="312" w:lineRule="auto"/>
        <w:ind w:left="5" w:leftChars="0" w:firstLine="415" w:firstLineChars="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4.3供应商提供的货物的质量与包装应符合国家相关法律法规的规定，符合行业主管部门发布的规定、标准、规范；</w:t>
      </w:r>
    </w:p>
    <w:p w14:paraId="662C5702">
      <w:pPr>
        <w:keepNext w:val="0"/>
        <w:keepLines w:val="0"/>
        <w:pageBreakBefore w:val="0"/>
        <w:widowControl w:val="0"/>
        <w:kinsoku/>
        <w:wordWrap/>
        <w:overflowPunct/>
        <w:topLinePunct w:val="0"/>
        <w:autoSpaceDE/>
        <w:autoSpaceDN/>
        <w:bidi w:val="0"/>
        <w:adjustRightInd/>
        <w:snapToGrid w:val="0"/>
        <w:spacing w:line="312" w:lineRule="auto"/>
        <w:ind w:left="5" w:leftChars="0" w:firstLine="415" w:firstLineChars="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4.4每次送货，供应商须委派一名专门负责人（项目经理），其须具备健康证，负责货物的运输、过秤，并协助采购人验收货品，货品的品种和重量以采购人验收的结果为准。</w:t>
      </w:r>
    </w:p>
    <w:p w14:paraId="001DA880">
      <w:pPr>
        <w:keepNext w:val="0"/>
        <w:keepLines w:val="0"/>
        <w:pageBreakBefore w:val="0"/>
        <w:widowControl w:val="0"/>
        <w:kinsoku/>
        <w:wordWrap/>
        <w:overflowPunct/>
        <w:topLinePunct w:val="0"/>
        <w:autoSpaceDE/>
        <w:autoSpaceDN/>
        <w:bidi w:val="0"/>
        <w:adjustRightInd/>
        <w:snapToGrid w:val="0"/>
        <w:spacing w:line="312" w:lineRule="auto"/>
        <w:ind w:left="5" w:leftChars="0" w:firstLine="415" w:firstLineChars="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4.5供应商指定的项目经理必须穿着便于辨认的工衣和配戴胸卡，送货专员在采购人单位活动必须严格遵守采购人单位各项规章制度，不得做出有损采购人形象和利益的事情。</w:t>
      </w:r>
    </w:p>
    <w:p w14:paraId="43546895">
      <w:pPr>
        <w:widowControl w:val="0"/>
        <w:kinsoku w:val="0"/>
        <w:autoSpaceDE w:val="0"/>
        <w:autoSpaceDN w:val="0"/>
        <w:adjustRightInd w:val="0"/>
        <w:snapToGrid w:val="0"/>
        <w:spacing w:after="120" w:line="240" w:lineRule="auto"/>
        <w:jc w:val="both"/>
        <w:textAlignment w:val="baseline"/>
        <w:rPr>
          <w:rFonts w:hint="default" w:ascii="Times New Roman" w:hAnsi="Times New Roman" w:eastAsia="宋体" w:cs="Times New Roman"/>
          <w:snapToGrid w:val="0"/>
          <w:color w:val="000000"/>
          <w:kern w:val="2"/>
          <w:sz w:val="21"/>
          <w:szCs w:val="24"/>
          <w:lang w:val="en-US" w:eastAsia="zh-CN" w:bidi="ar-SA"/>
        </w:rPr>
      </w:pPr>
      <w:r>
        <w:rPr>
          <w:rFonts w:hint="eastAsia" w:ascii="宋体" w:hAnsi="宋体" w:eastAsia="宋体" w:cs="宋体"/>
          <w:snapToGrid w:val="0"/>
          <w:color w:val="auto"/>
          <w:kern w:val="2"/>
          <w:sz w:val="22"/>
          <w:szCs w:val="22"/>
          <w:highlight w:val="none"/>
          <w:lang w:val="en-US" w:eastAsia="zh-CN" w:bidi="ar-SA"/>
        </w:rPr>
        <w:t xml:space="preserve">    4.6</w:t>
      </w:r>
      <w:r>
        <w:rPr>
          <w:rFonts w:hint="eastAsia" w:ascii="宋体" w:hAnsi="宋体" w:eastAsia="宋体" w:cs="宋体"/>
          <w:snapToGrid w:val="0"/>
          <w:color w:val="000000"/>
          <w:kern w:val="2"/>
          <w:sz w:val="22"/>
          <w:szCs w:val="22"/>
          <w:highlight w:val="none"/>
          <w:u w:val="none"/>
          <w:lang w:val="en-US" w:eastAsia="zh-CN" w:bidi="ar-SA"/>
        </w:rPr>
        <w:t>针对所报名段配置合理数量的冷藏（冷冻）车辆，履约中必须按照报名文件响应情况的执行。</w:t>
      </w:r>
    </w:p>
    <w:p w14:paraId="0E90CBFC">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12" w:lineRule="auto"/>
        <w:ind w:leftChars="0" w:firstLine="442" w:firstLineChars="200"/>
        <w:jc w:val="both"/>
        <w:textAlignment w:val="auto"/>
        <w:rPr>
          <w:rFonts w:hint="default" w:ascii="宋体" w:hAnsi="宋体" w:eastAsia="宋体" w:cs="宋体"/>
          <w:b/>
          <w:bCs/>
          <w:snapToGrid/>
          <w:color w:val="auto"/>
          <w:kern w:val="2"/>
          <w:sz w:val="22"/>
          <w:szCs w:val="22"/>
          <w:highlight w:val="none"/>
          <w:lang w:val="en-US" w:eastAsia="zh-CN"/>
        </w:rPr>
      </w:pPr>
      <w:r>
        <w:rPr>
          <w:rFonts w:hint="eastAsia" w:ascii="宋体" w:hAnsi="宋体" w:eastAsia="宋体" w:cs="宋体"/>
          <w:b/>
          <w:bCs/>
          <w:snapToGrid/>
          <w:color w:val="auto"/>
          <w:kern w:val="2"/>
          <w:sz w:val="22"/>
          <w:szCs w:val="22"/>
          <w:highlight w:val="none"/>
          <w:lang w:val="en-US" w:eastAsia="zh-CN"/>
        </w:rPr>
        <w:t>5、</w:t>
      </w:r>
      <w:r>
        <w:rPr>
          <w:rFonts w:hint="eastAsia" w:ascii="宋体" w:hAnsi="宋体" w:eastAsia="宋体" w:cs="宋体"/>
          <w:b/>
          <w:bCs/>
          <w:snapToGrid/>
          <w:color w:val="auto"/>
          <w:kern w:val="2"/>
          <w:sz w:val="22"/>
          <w:szCs w:val="22"/>
          <w:highlight w:val="none"/>
          <w:lang w:eastAsia="zh-CN"/>
        </w:rPr>
        <w:t>退换货</w:t>
      </w:r>
      <w:r>
        <w:rPr>
          <w:rFonts w:hint="eastAsia" w:ascii="宋体" w:hAnsi="宋体" w:eastAsia="宋体" w:cs="宋体"/>
          <w:b/>
          <w:bCs/>
          <w:snapToGrid/>
          <w:color w:val="auto"/>
          <w:kern w:val="2"/>
          <w:sz w:val="22"/>
          <w:szCs w:val="22"/>
          <w:highlight w:val="none"/>
          <w:lang w:val="en-US" w:eastAsia="zh-CN"/>
        </w:rPr>
        <w:t>及损耗</w:t>
      </w:r>
    </w:p>
    <w:p w14:paraId="214887AC">
      <w:pPr>
        <w:keepNext w:val="0"/>
        <w:keepLines w:val="0"/>
        <w:pageBreakBefore w:val="0"/>
        <w:widowControl w:val="0"/>
        <w:tabs>
          <w:tab w:val="left" w:pos="312"/>
        </w:tabs>
        <w:kinsoku/>
        <w:wordWrap/>
        <w:overflowPunct/>
        <w:topLinePunct w:val="0"/>
        <w:autoSpaceDE/>
        <w:autoSpaceDN/>
        <w:bidi w:val="0"/>
        <w:adjustRightInd/>
        <w:snapToGrid w:val="0"/>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val="en-US" w:eastAsia="zh-CN"/>
        </w:rPr>
        <w:t>5.1</w:t>
      </w:r>
      <w:r>
        <w:rPr>
          <w:rFonts w:hint="eastAsia" w:ascii="宋体" w:hAnsi="宋体" w:eastAsia="宋体" w:cs="宋体"/>
          <w:snapToGrid/>
          <w:color w:val="auto"/>
          <w:kern w:val="2"/>
          <w:sz w:val="22"/>
          <w:szCs w:val="22"/>
          <w:highlight w:val="none"/>
          <w:lang w:eastAsia="zh-CN"/>
        </w:rPr>
        <w:t>包装产品，采购人需要退换货时，采购人应当在保质期上1/6的期限内通知</w:t>
      </w:r>
      <w:r>
        <w:rPr>
          <w:rFonts w:hint="eastAsia" w:ascii="宋体" w:hAnsi="宋体" w:eastAsia="宋体" w:cs="宋体"/>
          <w:snapToGrid/>
          <w:color w:val="auto"/>
          <w:kern w:val="2"/>
          <w:sz w:val="22"/>
          <w:szCs w:val="22"/>
          <w:highlight w:val="none"/>
          <w:lang w:val="en-US" w:eastAsia="zh-CN"/>
        </w:rPr>
        <w:t>供应商</w:t>
      </w: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供应商</w:t>
      </w:r>
      <w:r>
        <w:rPr>
          <w:rFonts w:hint="eastAsia" w:ascii="宋体" w:hAnsi="宋体" w:eastAsia="宋体" w:cs="宋体"/>
          <w:snapToGrid/>
          <w:color w:val="auto"/>
          <w:kern w:val="2"/>
          <w:sz w:val="22"/>
          <w:szCs w:val="22"/>
          <w:highlight w:val="none"/>
          <w:lang w:eastAsia="zh-CN"/>
        </w:rPr>
        <w:t>应予配合。</w:t>
      </w:r>
    </w:p>
    <w:p w14:paraId="7F35AEC2">
      <w:pPr>
        <w:keepNext w:val="0"/>
        <w:keepLines w:val="0"/>
        <w:pageBreakBefore w:val="0"/>
        <w:widowControl w:val="0"/>
        <w:tabs>
          <w:tab w:val="left" w:pos="312"/>
        </w:tabs>
        <w:kinsoku/>
        <w:wordWrap/>
        <w:overflowPunct/>
        <w:topLinePunct w:val="0"/>
        <w:autoSpaceDE/>
        <w:autoSpaceDN/>
        <w:bidi w:val="0"/>
        <w:adjustRightInd/>
        <w:snapToGrid w:val="0"/>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val="en-US" w:eastAsia="zh-CN"/>
        </w:rPr>
        <w:t>5.2</w:t>
      </w:r>
      <w:r>
        <w:rPr>
          <w:rFonts w:hint="eastAsia" w:ascii="宋体" w:hAnsi="宋体" w:eastAsia="宋体" w:cs="宋体"/>
          <w:snapToGrid/>
          <w:color w:val="auto"/>
          <w:kern w:val="2"/>
          <w:sz w:val="22"/>
          <w:szCs w:val="22"/>
          <w:highlight w:val="none"/>
          <w:lang w:eastAsia="zh-CN"/>
        </w:rPr>
        <w:t xml:space="preserve"> 因</w:t>
      </w:r>
      <w:r>
        <w:rPr>
          <w:rFonts w:hint="eastAsia" w:ascii="宋体" w:hAnsi="宋体" w:eastAsia="宋体" w:cs="宋体"/>
          <w:snapToGrid/>
          <w:color w:val="auto"/>
          <w:kern w:val="2"/>
          <w:sz w:val="22"/>
          <w:szCs w:val="22"/>
          <w:highlight w:val="none"/>
          <w:lang w:val="en-US" w:eastAsia="zh-CN"/>
        </w:rPr>
        <w:t>供应商</w:t>
      </w:r>
      <w:r>
        <w:rPr>
          <w:rFonts w:hint="eastAsia" w:ascii="宋体" w:hAnsi="宋体" w:eastAsia="宋体" w:cs="宋体"/>
          <w:snapToGrid/>
          <w:color w:val="auto"/>
          <w:kern w:val="2"/>
          <w:sz w:val="22"/>
          <w:szCs w:val="22"/>
          <w:highlight w:val="none"/>
          <w:lang w:eastAsia="zh-CN"/>
        </w:rPr>
        <w:t>所供商品出现质量问题的，采购人应给与退货由此产生的相关费用、损失由</w:t>
      </w:r>
      <w:r>
        <w:rPr>
          <w:rFonts w:hint="eastAsia" w:ascii="宋体" w:hAnsi="宋体" w:eastAsia="宋体" w:cs="宋体"/>
          <w:snapToGrid/>
          <w:color w:val="auto"/>
          <w:kern w:val="2"/>
          <w:sz w:val="22"/>
          <w:szCs w:val="22"/>
          <w:highlight w:val="none"/>
          <w:lang w:val="en-US" w:eastAsia="zh-CN"/>
        </w:rPr>
        <w:t>供应商</w:t>
      </w:r>
      <w:r>
        <w:rPr>
          <w:rFonts w:hint="eastAsia" w:ascii="宋体" w:hAnsi="宋体" w:eastAsia="宋体" w:cs="宋体"/>
          <w:snapToGrid/>
          <w:color w:val="auto"/>
          <w:kern w:val="2"/>
          <w:sz w:val="22"/>
          <w:szCs w:val="22"/>
          <w:highlight w:val="none"/>
          <w:lang w:eastAsia="zh-CN"/>
        </w:rPr>
        <w:t>承担。</w:t>
      </w:r>
    </w:p>
    <w:p w14:paraId="5C582320">
      <w:pPr>
        <w:keepNext w:val="0"/>
        <w:keepLines w:val="0"/>
        <w:pageBreakBefore w:val="0"/>
        <w:widowControl w:val="0"/>
        <w:tabs>
          <w:tab w:val="left" w:pos="312"/>
        </w:tabs>
        <w:kinsoku/>
        <w:wordWrap/>
        <w:overflowPunct/>
        <w:topLinePunct w:val="0"/>
        <w:autoSpaceDE/>
        <w:autoSpaceDN/>
        <w:bidi w:val="0"/>
        <w:adjustRightInd/>
        <w:snapToGrid w:val="0"/>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val="en-US" w:eastAsia="zh-CN"/>
        </w:rPr>
        <w:t>5.</w:t>
      </w:r>
      <w:r>
        <w:rPr>
          <w:rFonts w:hint="eastAsia" w:ascii="宋体" w:hAnsi="宋体" w:eastAsia="宋体" w:cs="宋体"/>
          <w:snapToGrid/>
          <w:color w:val="auto"/>
          <w:kern w:val="2"/>
          <w:sz w:val="22"/>
          <w:szCs w:val="22"/>
          <w:highlight w:val="none"/>
          <w:lang w:eastAsia="zh-CN"/>
        </w:rPr>
        <w:t>3</w:t>
      </w:r>
      <w:r>
        <w:rPr>
          <w:rFonts w:hint="eastAsia" w:ascii="宋体" w:hAnsi="宋体" w:eastAsia="宋体" w:cs="宋体"/>
          <w:snapToGrid/>
          <w:color w:val="auto"/>
          <w:kern w:val="2"/>
          <w:sz w:val="22"/>
          <w:szCs w:val="22"/>
          <w:highlight w:val="none"/>
          <w:lang w:val="en-US" w:eastAsia="zh-CN"/>
        </w:rPr>
        <w:t>采购人</w:t>
      </w:r>
      <w:r>
        <w:rPr>
          <w:rFonts w:hint="eastAsia" w:ascii="宋体" w:hAnsi="宋体" w:eastAsia="宋体" w:cs="宋体"/>
          <w:snapToGrid/>
          <w:color w:val="auto"/>
          <w:kern w:val="2"/>
          <w:sz w:val="22"/>
          <w:szCs w:val="22"/>
          <w:highlight w:val="none"/>
          <w:lang w:eastAsia="zh-CN"/>
        </w:rPr>
        <w:t>发现商品出现损坏（包括表面损坏），或出现水渍、串味、受潮等导致货物性质改变的，供应商必须无条件退货或更换商品。</w:t>
      </w:r>
    </w:p>
    <w:p w14:paraId="55C8579F">
      <w:pPr>
        <w:keepNext w:val="0"/>
        <w:keepLines w:val="0"/>
        <w:pageBreakBefore w:val="0"/>
        <w:widowControl w:val="0"/>
        <w:kinsoku/>
        <w:wordWrap/>
        <w:overflowPunct/>
        <w:topLinePunct w:val="0"/>
        <w:autoSpaceDE/>
        <w:autoSpaceDN/>
        <w:bidi w:val="0"/>
        <w:adjustRightInd/>
        <w:snapToGrid/>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val="en-US" w:eastAsia="zh-CN"/>
        </w:rPr>
        <w:t>5</w:t>
      </w:r>
      <w:r>
        <w:rPr>
          <w:rFonts w:hint="eastAsia" w:ascii="宋体" w:hAnsi="宋体" w:eastAsia="宋体" w:cs="宋体"/>
          <w:snapToGrid/>
          <w:color w:val="auto"/>
          <w:kern w:val="2"/>
          <w:sz w:val="22"/>
          <w:szCs w:val="22"/>
          <w:highlight w:val="none"/>
          <w:lang w:eastAsia="zh-CN"/>
        </w:rPr>
        <w:t>.4</w:t>
      </w:r>
      <w:r>
        <w:rPr>
          <w:rFonts w:hint="eastAsia" w:ascii="宋体" w:hAnsi="宋体" w:eastAsia="宋体" w:cs="宋体"/>
          <w:snapToGrid/>
          <w:color w:val="auto"/>
          <w:kern w:val="2"/>
          <w:sz w:val="22"/>
          <w:szCs w:val="22"/>
          <w:highlight w:val="none"/>
          <w:lang w:val="en-US" w:eastAsia="zh-CN"/>
        </w:rPr>
        <w:t>供应商</w:t>
      </w:r>
      <w:r>
        <w:rPr>
          <w:rFonts w:hint="eastAsia" w:ascii="宋体" w:hAnsi="宋体" w:eastAsia="宋体" w:cs="宋体"/>
          <w:snapToGrid/>
          <w:color w:val="auto"/>
          <w:kern w:val="2"/>
          <w:sz w:val="22"/>
          <w:szCs w:val="22"/>
          <w:highlight w:val="none"/>
          <w:lang w:eastAsia="zh-CN"/>
        </w:rPr>
        <w:t>提供假冒伪劣、过期、变质的、有毒食品的，一经发现，除按采购人要求无条件退货或换货外，还将受到如下处罚：</w:t>
      </w:r>
    </w:p>
    <w:p w14:paraId="7108A43B">
      <w:pPr>
        <w:keepNext w:val="0"/>
        <w:keepLines w:val="0"/>
        <w:pageBreakBefore w:val="0"/>
        <w:widowControl w:val="0"/>
        <w:kinsoku/>
        <w:wordWrap/>
        <w:overflowPunct/>
        <w:topLinePunct w:val="0"/>
        <w:autoSpaceDE/>
        <w:autoSpaceDN/>
        <w:bidi w:val="0"/>
        <w:adjustRightInd/>
        <w:snapToGrid/>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①供应商提供假冒伪劣、过期、变质食品的，要求无条件退货或换货外，甲方有权要求赔偿损失并视情节从乙方货款中扣除批次订单的10倍金额作为</w:t>
      </w:r>
      <w:r>
        <w:rPr>
          <w:rFonts w:hint="eastAsia" w:ascii="宋体" w:hAnsi="宋体" w:eastAsia="宋体" w:cs="宋体"/>
          <w:snapToGrid/>
          <w:color w:val="auto"/>
          <w:kern w:val="2"/>
          <w:sz w:val="22"/>
          <w:szCs w:val="22"/>
          <w:highlight w:val="none"/>
          <w:lang w:val="en-US" w:eastAsia="zh-CN"/>
        </w:rPr>
        <w:t>赔偿金</w:t>
      </w:r>
      <w:r>
        <w:rPr>
          <w:rFonts w:hint="eastAsia" w:ascii="宋体" w:hAnsi="宋体" w:eastAsia="宋体" w:cs="宋体"/>
          <w:snapToGrid/>
          <w:color w:val="auto"/>
          <w:kern w:val="2"/>
          <w:sz w:val="22"/>
          <w:szCs w:val="22"/>
          <w:highlight w:val="none"/>
          <w:lang w:eastAsia="zh-CN"/>
        </w:rPr>
        <w:t>（若赔偿金额小于损失金额，另行补交差额）。</w:t>
      </w:r>
    </w:p>
    <w:p w14:paraId="46A7F2DD">
      <w:pPr>
        <w:keepNext w:val="0"/>
        <w:keepLines w:val="0"/>
        <w:pageBreakBefore w:val="0"/>
        <w:widowControl w:val="0"/>
        <w:kinsoku/>
        <w:wordWrap/>
        <w:overflowPunct/>
        <w:topLinePunct w:val="0"/>
        <w:autoSpaceDE/>
        <w:autoSpaceDN/>
        <w:bidi w:val="0"/>
        <w:adjustRightInd/>
        <w:snapToGrid/>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②供应商提供有毒食品的，造成食品安全事故的，经有关单位鉴定原因后，如确实为供应商提供之食品问题，供应商除需负担全数之医药费和没收履约保证金外，采购人还有权取消供应商供货资格和终止供应商供货合同，供应商同时承担相应的民事及刑事法律责任及放弃申诉抗辩权。</w:t>
      </w:r>
    </w:p>
    <w:p w14:paraId="035548D1">
      <w:pPr>
        <w:keepNext w:val="0"/>
        <w:keepLines w:val="0"/>
        <w:pageBreakBefore w:val="0"/>
        <w:widowControl w:val="0"/>
        <w:kinsoku/>
        <w:wordWrap/>
        <w:overflowPunct/>
        <w:topLinePunct w:val="0"/>
        <w:autoSpaceDE/>
        <w:autoSpaceDN/>
        <w:bidi w:val="0"/>
        <w:adjustRightInd/>
        <w:snapToGrid/>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③若</w:t>
      </w:r>
      <w:r>
        <w:rPr>
          <w:rFonts w:hint="eastAsia" w:ascii="宋体" w:hAnsi="宋体" w:eastAsia="宋体" w:cs="宋体"/>
          <w:snapToGrid/>
          <w:color w:val="auto"/>
          <w:kern w:val="2"/>
          <w:sz w:val="22"/>
          <w:szCs w:val="22"/>
          <w:highlight w:val="none"/>
          <w:lang w:val="en-US" w:eastAsia="zh-CN"/>
        </w:rPr>
        <w:t>采购</w:t>
      </w:r>
      <w:r>
        <w:rPr>
          <w:rFonts w:hint="eastAsia" w:ascii="宋体" w:hAnsi="宋体" w:eastAsia="宋体" w:cs="宋体"/>
          <w:snapToGrid/>
          <w:color w:val="auto"/>
          <w:kern w:val="2"/>
          <w:sz w:val="22"/>
          <w:szCs w:val="22"/>
          <w:highlight w:val="none"/>
          <w:lang w:eastAsia="zh-CN"/>
        </w:rPr>
        <w:t>人发现供应商所供货物出现严重质量问题，</w:t>
      </w:r>
      <w:r>
        <w:rPr>
          <w:rFonts w:hint="eastAsia" w:ascii="宋体" w:hAnsi="宋体" w:eastAsia="宋体" w:cs="宋体"/>
          <w:snapToGrid/>
          <w:color w:val="auto"/>
          <w:kern w:val="2"/>
          <w:sz w:val="22"/>
          <w:szCs w:val="22"/>
          <w:highlight w:val="none"/>
          <w:lang w:val="en-US" w:eastAsia="zh-CN"/>
        </w:rPr>
        <w:t>采购人</w:t>
      </w:r>
      <w:r>
        <w:rPr>
          <w:rFonts w:hint="eastAsia" w:ascii="宋体" w:hAnsi="宋体" w:eastAsia="宋体" w:cs="宋体"/>
          <w:snapToGrid/>
          <w:color w:val="auto"/>
          <w:kern w:val="2"/>
          <w:sz w:val="22"/>
          <w:szCs w:val="22"/>
          <w:highlight w:val="none"/>
          <w:lang w:eastAsia="zh-CN"/>
        </w:rPr>
        <w:t>有权单方立即终止合同。</w:t>
      </w:r>
    </w:p>
    <w:p w14:paraId="3ABB7325">
      <w:pPr>
        <w:keepNext w:val="0"/>
        <w:keepLines w:val="0"/>
        <w:pageBreakBefore w:val="0"/>
        <w:widowControl w:val="0"/>
        <w:kinsoku/>
        <w:wordWrap/>
        <w:overflowPunct/>
        <w:topLinePunct w:val="0"/>
        <w:autoSpaceDE/>
        <w:autoSpaceDN/>
        <w:bidi w:val="0"/>
        <w:adjustRightInd/>
        <w:snapToGrid/>
        <w:spacing w:line="312" w:lineRule="auto"/>
        <w:ind w:firstLine="440" w:firstLineChars="200"/>
        <w:jc w:val="both"/>
        <w:textAlignment w:val="auto"/>
        <w:rPr>
          <w:rFonts w:hint="default" w:ascii="宋体" w:hAnsi="宋体" w:eastAsia="宋体" w:cs="宋体"/>
          <w:snapToGrid/>
          <w:color w:val="auto"/>
          <w:kern w:val="2"/>
          <w:sz w:val="22"/>
          <w:szCs w:val="22"/>
          <w:highlight w:val="none"/>
          <w:lang w:val="en-US" w:eastAsia="zh-CN"/>
        </w:rPr>
      </w:pPr>
      <w:r>
        <w:rPr>
          <w:rFonts w:hint="eastAsia" w:ascii="宋体" w:hAnsi="宋体" w:eastAsia="宋体" w:cs="宋体"/>
          <w:snapToGrid/>
          <w:color w:val="auto"/>
          <w:kern w:val="2"/>
          <w:sz w:val="22"/>
          <w:szCs w:val="22"/>
          <w:highlight w:val="none"/>
          <w:lang w:val="en-US" w:eastAsia="zh-CN"/>
        </w:rPr>
        <w:t>5.5</w:t>
      </w:r>
      <w:r>
        <w:rPr>
          <w:rFonts w:hint="eastAsia" w:ascii="宋体" w:hAnsi="宋体" w:eastAsia="宋体" w:cs="宋体"/>
          <w:i w:val="0"/>
          <w:iCs w:val="0"/>
          <w:caps w:val="0"/>
          <w:color w:val="auto"/>
          <w:spacing w:val="0"/>
          <w:sz w:val="21"/>
          <w:szCs w:val="21"/>
          <w:highlight w:val="none"/>
          <w:shd w:val="clear" w:fill="FFFFFF"/>
        </w:rPr>
        <w:t>因制作产生的损耗（5%），由供应商自行承担</w:t>
      </w:r>
      <w:r>
        <w:rPr>
          <w:rFonts w:hint="eastAsia" w:ascii="宋体" w:hAnsi="宋体" w:eastAsia="宋体" w:cs="宋体"/>
          <w:snapToGrid/>
          <w:color w:val="auto"/>
          <w:kern w:val="2"/>
          <w:sz w:val="22"/>
          <w:szCs w:val="22"/>
          <w:highlight w:val="none"/>
          <w:lang w:val="en-US" w:eastAsia="zh-CN"/>
        </w:rPr>
        <w:t>。</w:t>
      </w:r>
    </w:p>
    <w:p w14:paraId="67323A76">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12" w:lineRule="auto"/>
        <w:ind w:leftChars="0" w:firstLine="442" w:firstLineChars="200"/>
        <w:jc w:val="both"/>
        <w:textAlignment w:val="auto"/>
        <w:rPr>
          <w:rFonts w:hint="eastAsia" w:ascii="宋体" w:hAnsi="宋体" w:eastAsia="宋体" w:cs="宋体"/>
          <w:b/>
          <w:bCs/>
          <w:snapToGrid/>
          <w:color w:val="auto"/>
          <w:kern w:val="2"/>
          <w:sz w:val="22"/>
          <w:szCs w:val="22"/>
          <w:highlight w:val="none"/>
          <w:lang w:eastAsia="zh-CN"/>
        </w:rPr>
      </w:pPr>
      <w:r>
        <w:rPr>
          <w:rFonts w:hint="eastAsia" w:ascii="宋体" w:hAnsi="宋体" w:eastAsia="宋体" w:cs="宋体"/>
          <w:b/>
          <w:bCs/>
          <w:snapToGrid/>
          <w:color w:val="auto"/>
          <w:kern w:val="2"/>
          <w:sz w:val="22"/>
          <w:szCs w:val="22"/>
          <w:highlight w:val="none"/>
          <w:lang w:val="en-US" w:eastAsia="zh-CN"/>
        </w:rPr>
        <w:t>6、</w:t>
      </w:r>
      <w:r>
        <w:rPr>
          <w:rFonts w:hint="eastAsia" w:ascii="宋体" w:hAnsi="宋体" w:eastAsia="宋体" w:cs="宋体"/>
          <w:b/>
          <w:bCs/>
          <w:snapToGrid/>
          <w:color w:val="auto"/>
          <w:kern w:val="2"/>
          <w:sz w:val="22"/>
          <w:szCs w:val="22"/>
          <w:highlight w:val="none"/>
          <w:lang w:eastAsia="zh-CN"/>
        </w:rPr>
        <w:t>考核评价</w:t>
      </w:r>
    </w:p>
    <w:p w14:paraId="427E06E2">
      <w:pPr>
        <w:keepNext w:val="0"/>
        <w:keepLines w:val="0"/>
        <w:pageBreakBefore w:val="0"/>
        <w:widowControl w:val="0"/>
        <w:kinsoku/>
        <w:wordWrap/>
        <w:overflowPunct/>
        <w:topLinePunct w:val="0"/>
        <w:autoSpaceDE/>
        <w:autoSpaceDN/>
        <w:bidi w:val="0"/>
        <w:adjustRightInd/>
        <w:snapToGrid w:val="0"/>
        <w:spacing w:line="312" w:lineRule="auto"/>
        <w:ind w:firstLine="440" w:firstLineChars="200"/>
        <w:jc w:val="both"/>
        <w:textAlignment w:val="auto"/>
        <w:rPr>
          <w:rFonts w:hint="eastAsia" w:ascii="宋体" w:hAnsi="宋体" w:eastAsia="宋体" w:cs="宋体"/>
          <w:b/>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采购人每季度就服务满意度进行考核，对菜品质量、配送速度、包装完整性等进行综合考核评分，得分要求均达到</w:t>
      </w:r>
      <w:r>
        <w:rPr>
          <w:rFonts w:hint="eastAsia" w:ascii="宋体" w:hAnsi="宋体" w:eastAsia="宋体" w:cs="宋体"/>
          <w:snapToGrid/>
          <w:color w:val="auto"/>
          <w:kern w:val="2"/>
          <w:sz w:val="22"/>
          <w:szCs w:val="22"/>
          <w:highlight w:val="none"/>
          <w:lang w:val="en-US" w:eastAsia="zh-CN"/>
        </w:rPr>
        <w:t>85</w:t>
      </w:r>
      <w:r>
        <w:rPr>
          <w:rFonts w:hint="eastAsia" w:ascii="宋体" w:hAnsi="宋体" w:eastAsia="宋体" w:cs="宋体"/>
          <w:snapToGrid/>
          <w:color w:val="auto"/>
          <w:kern w:val="2"/>
          <w:sz w:val="22"/>
          <w:szCs w:val="22"/>
          <w:highlight w:val="none"/>
          <w:lang w:eastAsia="zh-CN"/>
        </w:rPr>
        <w:t>分以上。如在一个合同期一年内有二次满意度达不到</w:t>
      </w:r>
      <w:r>
        <w:rPr>
          <w:rFonts w:hint="eastAsia" w:ascii="宋体" w:hAnsi="宋体" w:eastAsia="宋体" w:cs="宋体"/>
          <w:snapToGrid/>
          <w:color w:val="auto"/>
          <w:kern w:val="2"/>
          <w:sz w:val="22"/>
          <w:szCs w:val="22"/>
          <w:highlight w:val="none"/>
          <w:lang w:val="en-US" w:eastAsia="zh-CN"/>
        </w:rPr>
        <w:t>85</w:t>
      </w:r>
      <w:r>
        <w:rPr>
          <w:rFonts w:hint="eastAsia" w:ascii="宋体" w:hAnsi="宋体" w:eastAsia="宋体" w:cs="宋体"/>
          <w:snapToGrid/>
          <w:color w:val="auto"/>
          <w:kern w:val="2"/>
          <w:sz w:val="22"/>
          <w:szCs w:val="22"/>
          <w:highlight w:val="none"/>
          <w:lang w:eastAsia="zh-CN"/>
        </w:rPr>
        <w:t>分的，</w:t>
      </w:r>
      <w:r>
        <w:rPr>
          <w:rFonts w:hint="eastAsia" w:ascii="宋体" w:hAnsi="宋体" w:eastAsia="宋体" w:cs="宋体"/>
          <w:snapToGrid/>
          <w:color w:val="auto"/>
          <w:kern w:val="2"/>
          <w:sz w:val="22"/>
          <w:szCs w:val="22"/>
          <w:highlight w:val="none"/>
          <w:lang w:val="en-US" w:eastAsia="zh-CN"/>
        </w:rPr>
        <w:t>采购人</w:t>
      </w:r>
      <w:r>
        <w:rPr>
          <w:rFonts w:hint="eastAsia" w:ascii="宋体" w:hAnsi="宋体" w:eastAsia="宋体" w:cs="宋体"/>
          <w:snapToGrid/>
          <w:color w:val="auto"/>
          <w:kern w:val="2"/>
          <w:sz w:val="22"/>
          <w:szCs w:val="22"/>
          <w:highlight w:val="none"/>
          <w:lang w:eastAsia="zh-CN"/>
        </w:rPr>
        <w:t>有权不再续签下一年度的服务合同。</w:t>
      </w:r>
      <w:bookmarkStart w:id="39" w:name="_Toc24466"/>
      <w:bookmarkStart w:id="40" w:name="_Toc24667"/>
      <w:bookmarkStart w:id="41" w:name="_Toc20833"/>
      <w:bookmarkStart w:id="42" w:name="_Toc20109"/>
      <w:bookmarkStart w:id="43" w:name="_Toc1607"/>
      <w:bookmarkStart w:id="44" w:name="_Toc10953"/>
      <w:bookmarkStart w:id="45" w:name="_Toc21572"/>
      <w:bookmarkStart w:id="46" w:name="_Toc9021"/>
    </w:p>
    <w:p w14:paraId="5403F523">
      <w:pPr>
        <w:keepNext w:val="0"/>
        <w:keepLines w:val="0"/>
        <w:pageBreakBefore w:val="0"/>
        <w:widowControl w:val="0"/>
        <w:kinsoku/>
        <w:wordWrap/>
        <w:overflowPunct/>
        <w:topLinePunct w:val="0"/>
        <w:autoSpaceDE/>
        <w:autoSpaceDN/>
        <w:bidi w:val="0"/>
        <w:adjustRightInd w:val="0"/>
        <w:snapToGrid w:val="0"/>
        <w:spacing w:line="312" w:lineRule="auto"/>
        <w:ind w:firstLine="442" w:firstLineChars="200"/>
        <w:jc w:val="left"/>
        <w:textAlignment w:val="auto"/>
        <w:outlineLvl w:val="1"/>
        <w:rPr>
          <w:rFonts w:hint="eastAsia" w:ascii="宋体" w:hAnsi="宋体" w:eastAsia="宋体" w:cs="宋体"/>
          <w:b/>
          <w:snapToGrid/>
          <w:color w:val="auto"/>
          <w:kern w:val="2"/>
          <w:sz w:val="22"/>
          <w:szCs w:val="22"/>
          <w:highlight w:val="none"/>
          <w:lang w:eastAsia="zh-CN"/>
        </w:rPr>
      </w:pPr>
      <w:bookmarkStart w:id="47" w:name="_Toc1245"/>
      <w:r>
        <w:rPr>
          <w:rFonts w:hint="eastAsia" w:ascii="宋体" w:hAnsi="宋体" w:eastAsia="宋体" w:cs="宋体"/>
          <w:b/>
          <w:snapToGrid/>
          <w:color w:val="auto"/>
          <w:kern w:val="2"/>
          <w:sz w:val="22"/>
          <w:szCs w:val="22"/>
          <w:highlight w:val="none"/>
          <w:lang w:eastAsia="zh-CN"/>
        </w:rPr>
        <w:t>三、报价</w:t>
      </w:r>
      <w:bookmarkEnd w:id="39"/>
      <w:bookmarkEnd w:id="40"/>
      <w:bookmarkEnd w:id="41"/>
      <w:bookmarkEnd w:id="42"/>
      <w:bookmarkEnd w:id="43"/>
      <w:bookmarkEnd w:id="44"/>
      <w:bookmarkEnd w:id="45"/>
      <w:bookmarkEnd w:id="46"/>
      <w:bookmarkEnd w:id="47"/>
    </w:p>
    <w:p w14:paraId="2A578597">
      <w:pPr>
        <w:keepNext w:val="0"/>
        <w:keepLines w:val="0"/>
        <w:pageBreakBefore w:val="0"/>
        <w:widowControl w:val="0"/>
        <w:kinsoku/>
        <w:wordWrap/>
        <w:overflowPunct/>
        <w:topLinePunct w:val="0"/>
        <w:autoSpaceDE/>
        <w:autoSpaceDN/>
        <w:bidi w:val="0"/>
        <w:adjustRightInd/>
        <w:snapToGrid/>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1、供应商按照报名文件给定的格式进行报价。</w:t>
      </w:r>
    </w:p>
    <w:p w14:paraId="57AC39FA">
      <w:pPr>
        <w:keepNext w:val="0"/>
        <w:keepLines w:val="0"/>
        <w:pageBreakBefore w:val="0"/>
        <w:widowControl w:val="0"/>
        <w:kinsoku/>
        <w:wordWrap/>
        <w:overflowPunct/>
        <w:topLinePunct w:val="0"/>
        <w:autoSpaceDE/>
        <w:autoSpaceDN/>
        <w:bidi w:val="0"/>
        <w:adjustRightInd/>
        <w:snapToGrid/>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2、供应商应遵循公平、合法和诚实信用原则，综合考虑服务成本和市场供求状况等因素，进行报价。</w:t>
      </w:r>
    </w:p>
    <w:p w14:paraId="44CD362B">
      <w:pPr>
        <w:keepNext w:val="0"/>
        <w:keepLines w:val="0"/>
        <w:pageBreakBefore w:val="0"/>
        <w:widowControl w:val="0"/>
        <w:kinsoku/>
        <w:wordWrap/>
        <w:overflowPunct/>
        <w:topLinePunct w:val="0"/>
        <w:autoSpaceDE/>
        <w:autoSpaceDN/>
        <w:bidi w:val="0"/>
        <w:adjustRightInd/>
        <w:snapToGrid/>
        <w:spacing w:line="312" w:lineRule="auto"/>
        <w:ind w:firstLine="440" w:firstLineChars="200"/>
        <w:jc w:val="both"/>
        <w:textAlignment w:val="auto"/>
        <w:rPr>
          <w:rFonts w:hint="eastAsia" w:ascii="宋体" w:hAnsi="宋体" w:eastAsia="宋体" w:cs="宋体"/>
          <w:snapToGrid/>
          <w:color w:val="auto"/>
          <w:kern w:val="2"/>
          <w:sz w:val="22"/>
          <w:szCs w:val="22"/>
          <w:highlight w:val="none"/>
          <w:lang w:eastAsia="zh-CN"/>
        </w:rPr>
      </w:pPr>
      <w:r>
        <w:rPr>
          <w:rFonts w:hint="eastAsia" w:ascii="宋体" w:hAnsi="宋体" w:eastAsia="宋体" w:cs="宋体"/>
          <w:snapToGrid/>
          <w:color w:val="auto"/>
          <w:kern w:val="2"/>
          <w:sz w:val="22"/>
          <w:szCs w:val="22"/>
          <w:highlight w:val="none"/>
          <w:lang w:eastAsia="zh-CN"/>
        </w:rPr>
        <w:t>3、</w:t>
      </w:r>
      <w:r>
        <w:rPr>
          <w:rFonts w:hint="eastAsia" w:ascii="宋体" w:hAnsi="宋体" w:eastAsia="宋体" w:cs="宋体"/>
          <w:snapToGrid/>
          <w:color w:val="auto"/>
          <w:kern w:val="2"/>
          <w:sz w:val="22"/>
          <w:szCs w:val="22"/>
          <w:highlight w:val="none"/>
          <w:lang w:val="en-US" w:eastAsia="zh-CN"/>
        </w:rPr>
        <w:t>本项目采用综合报价。</w:t>
      </w:r>
      <w:r>
        <w:rPr>
          <w:rFonts w:hint="eastAsia" w:ascii="宋体" w:hAnsi="宋体" w:eastAsia="宋体" w:cs="宋体"/>
          <w:snapToGrid/>
          <w:color w:val="auto"/>
          <w:kern w:val="2"/>
          <w:sz w:val="22"/>
          <w:szCs w:val="22"/>
          <w:highlight w:val="none"/>
          <w:lang w:eastAsia="zh-CN"/>
        </w:rPr>
        <w:t>报价时，必须考虑招</w:t>
      </w:r>
      <w:r>
        <w:rPr>
          <w:rFonts w:hint="eastAsia" w:ascii="宋体" w:hAnsi="宋体" w:eastAsia="宋体" w:cs="宋体"/>
          <w:snapToGrid/>
          <w:color w:val="auto"/>
          <w:kern w:val="2"/>
          <w:sz w:val="22"/>
          <w:szCs w:val="22"/>
          <w:highlight w:val="none"/>
          <w:lang w:val="en-US" w:eastAsia="zh-CN"/>
        </w:rPr>
        <w:t>商</w:t>
      </w:r>
      <w:r>
        <w:rPr>
          <w:rFonts w:hint="eastAsia" w:ascii="宋体" w:hAnsi="宋体" w:eastAsia="宋体" w:cs="宋体"/>
          <w:snapToGrid/>
          <w:color w:val="auto"/>
          <w:kern w:val="2"/>
          <w:sz w:val="22"/>
          <w:szCs w:val="22"/>
          <w:highlight w:val="none"/>
          <w:lang w:eastAsia="zh-CN"/>
        </w:rPr>
        <w:t>内容涉及的</w:t>
      </w:r>
      <w:r>
        <w:rPr>
          <w:rFonts w:hint="eastAsia" w:ascii="宋体" w:hAnsi="宋体" w:eastAsia="宋体" w:cs="宋体"/>
          <w:bCs/>
          <w:snapToGrid/>
          <w:color w:val="auto"/>
          <w:kern w:val="2"/>
          <w:sz w:val="22"/>
          <w:szCs w:val="22"/>
          <w:highlight w:val="none"/>
          <w:lang w:eastAsia="zh-CN"/>
        </w:rPr>
        <w:t>包括但不限于产品</w:t>
      </w:r>
      <w:r>
        <w:rPr>
          <w:rFonts w:hint="eastAsia" w:ascii="宋体" w:hAnsi="宋体" w:eastAsia="宋体" w:cs="宋体"/>
          <w:snapToGrid/>
          <w:color w:val="auto"/>
          <w:kern w:val="2"/>
          <w:sz w:val="22"/>
          <w:szCs w:val="22"/>
          <w:highlight w:val="none"/>
          <w:lang w:eastAsia="zh-CN"/>
        </w:rPr>
        <w:t>供货、包装、运输、验收、售后服务、质保等</w:t>
      </w:r>
      <w:r>
        <w:rPr>
          <w:rFonts w:hint="eastAsia" w:ascii="宋体" w:hAnsi="宋体" w:eastAsia="宋体" w:cs="宋体"/>
          <w:bCs/>
          <w:snapToGrid/>
          <w:color w:val="auto"/>
          <w:kern w:val="2"/>
          <w:sz w:val="22"/>
          <w:szCs w:val="22"/>
          <w:highlight w:val="none"/>
          <w:lang w:eastAsia="zh-CN"/>
        </w:rPr>
        <w:t>所有相关费用</w:t>
      </w:r>
      <w:r>
        <w:rPr>
          <w:rFonts w:hint="eastAsia" w:ascii="宋体" w:hAnsi="宋体" w:eastAsia="宋体" w:cs="宋体"/>
          <w:snapToGrid/>
          <w:color w:val="auto"/>
          <w:kern w:val="2"/>
          <w:sz w:val="22"/>
          <w:szCs w:val="22"/>
          <w:highlight w:val="none"/>
          <w:lang w:eastAsia="zh-CN"/>
        </w:rPr>
        <w:t>，并体现在报价内。实际合同执行中，采购人不再支付任何与项目有关的其他一切费用。</w:t>
      </w:r>
    </w:p>
    <w:p w14:paraId="2259D691">
      <w:pPr>
        <w:jc w:val="both"/>
        <w:rPr>
          <w:rFonts w:hint="eastAsia" w:ascii="宋体" w:hAnsi="宋体" w:eastAsia="宋体" w:cs="Times New Roman"/>
          <w:b/>
          <w:bCs/>
          <w:color w:val="000000"/>
          <w:kern w:val="44"/>
          <w:sz w:val="36"/>
          <w:szCs w:val="44"/>
          <w:highlight w:val="none"/>
          <w:lang w:val="en-US" w:eastAsia="zh-CN" w:bidi="ar-SA"/>
        </w:rPr>
      </w:pPr>
    </w:p>
    <w:p w14:paraId="4F554A51">
      <w:pPr>
        <w:widowControl w:val="0"/>
        <w:spacing w:after="120"/>
        <w:jc w:val="both"/>
        <w:rPr>
          <w:rFonts w:hint="eastAsia" w:ascii="宋体" w:hAnsi="宋体" w:eastAsia="宋体" w:cs="Times New Roman"/>
          <w:b/>
          <w:bCs/>
          <w:color w:val="000000"/>
          <w:kern w:val="44"/>
          <w:sz w:val="36"/>
          <w:szCs w:val="44"/>
          <w:highlight w:val="none"/>
          <w:lang w:val="en-US" w:eastAsia="zh-CN" w:bidi="ar-SA"/>
        </w:rPr>
      </w:pPr>
    </w:p>
    <w:p w14:paraId="6CBB4A84">
      <w:pPr>
        <w:numPr>
          <w:ilvl w:val="0"/>
          <w:numId w:val="0"/>
        </w:numPr>
        <w:spacing w:line="440" w:lineRule="exact"/>
        <w:jc w:val="center"/>
        <w:rPr>
          <w:rFonts w:hint="eastAsia" w:ascii="Times New Roman" w:hAnsi="Times New Roman" w:eastAsia="黑体" w:cs="Times New Roman"/>
          <w:color w:val="auto"/>
          <w:kern w:val="2"/>
          <w:sz w:val="28"/>
          <w:szCs w:val="28"/>
          <w:lang w:val="en-US" w:eastAsia="zh-CN" w:bidi="ar-SA"/>
        </w:rPr>
      </w:pPr>
    </w:p>
    <w:p w14:paraId="18005FC0">
      <w:pPr>
        <w:numPr>
          <w:ilvl w:val="0"/>
          <w:numId w:val="0"/>
        </w:numPr>
        <w:spacing w:line="440" w:lineRule="exact"/>
        <w:jc w:val="center"/>
        <w:rPr>
          <w:rFonts w:hint="eastAsia" w:ascii="Times New Roman" w:hAnsi="Times New Roman" w:eastAsia="黑体" w:cs="Times New Roman"/>
          <w:color w:val="auto"/>
          <w:kern w:val="2"/>
          <w:sz w:val="28"/>
          <w:szCs w:val="28"/>
          <w:lang w:val="en-US" w:eastAsia="zh-CN" w:bidi="ar-SA"/>
        </w:rPr>
      </w:pPr>
    </w:p>
    <w:p w14:paraId="230A5DA1">
      <w:pPr>
        <w:numPr>
          <w:ilvl w:val="0"/>
          <w:numId w:val="0"/>
        </w:numPr>
        <w:spacing w:line="440" w:lineRule="exact"/>
        <w:jc w:val="center"/>
        <w:rPr>
          <w:rFonts w:hint="eastAsia" w:ascii="Times New Roman" w:hAnsi="Times New Roman" w:eastAsia="黑体" w:cs="Times New Roman"/>
          <w:color w:val="auto"/>
          <w:kern w:val="2"/>
          <w:sz w:val="28"/>
          <w:szCs w:val="28"/>
          <w:lang w:val="en-US" w:eastAsia="zh-CN" w:bidi="ar-SA"/>
        </w:rPr>
      </w:pPr>
    </w:p>
    <w:p w14:paraId="5906030D">
      <w:pPr>
        <w:numPr>
          <w:ilvl w:val="0"/>
          <w:numId w:val="0"/>
        </w:numPr>
        <w:spacing w:line="440" w:lineRule="exact"/>
        <w:jc w:val="center"/>
        <w:rPr>
          <w:rFonts w:hint="eastAsia" w:ascii="Times New Roman" w:hAnsi="Times New Roman" w:eastAsia="黑体" w:cs="Times New Roman"/>
          <w:color w:val="auto"/>
          <w:kern w:val="2"/>
          <w:sz w:val="28"/>
          <w:szCs w:val="28"/>
          <w:lang w:val="en-US" w:eastAsia="zh-CN" w:bidi="ar-SA"/>
        </w:rPr>
      </w:pPr>
    </w:p>
    <w:p w14:paraId="305A48FD">
      <w:pPr>
        <w:numPr>
          <w:ilvl w:val="0"/>
          <w:numId w:val="0"/>
        </w:numPr>
        <w:spacing w:line="440" w:lineRule="exact"/>
        <w:jc w:val="center"/>
        <w:rPr>
          <w:rFonts w:hint="eastAsia" w:ascii="Times New Roman" w:hAnsi="Times New Roman" w:eastAsia="黑体" w:cs="Times New Roman"/>
          <w:color w:val="auto"/>
          <w:kern w:val="2"/>
          <w:sz w:val="28"/>
          <w:szCs w:val="28"/>
          <w:lang w:val="en-US" w:eastAsia="zh-CN" w:bidi="ar-SA"/>
        </w:rPr>
      </w:pPr>
    </w:p>
    <w:p w14:paraId="21EA4EE5">
      <w:pPr>
        <w:numPr>
          <w:ilvl w:val="0"/>
          <w:numId w:val="0"/>
        </w:numPr>
        <w:spacing w:line="440" w:lineRule="exact"/>
        <w:jc w:val="center"/>
        <w:rPr>
          <w:rFonts w:hint="eastAsia" w:ascii="Times New Roman" w:hAnsi="Times New Roman" w:eastAsia="黑体" w:cs="Times New Roman"/>
          <w:color w:val="auto"/>
          <w:kern w:val="2"/>
          <w:sz w:val="28"/>
          <w:szCs w:val="28"/>
          <w:lang w:val="en-US" w:eastAsia="zh-CN" w:bidi="ar-SA"/>
        </w:rPr>
      </w:pPr>
    </w:p>
    <w:p w14:paraId="2CB5C050">
      <w:pPr>
        <w:numPr>
          <w:ilvl w:val="0"/>
          <w:numId w:val="0"/>
        </w:numPr>
        <w:spacing w:line="440" w:lineRule="exact"/>
        <w:jc w:val="center"/>
        <w:rPr>
          <w:rFonts w:hint="eastAsia" w:ascii="Times New Roman" w:hAnsi="Times New Roman" w:eastAsia="黑体" w:cs="Times New Roman"/>
          <w:color w:val="auto"/>
          <w:kern w:val="2"/>
          <w:sz w:val="28"/>
          <w:szCs w:val="28"/>
          <w:lang w:val="en-US" w:eastAsia="zh-CN" w:bidi="ar-SA"/>
        </w:rPr>
      </w:pPr>
    </w:p>
    <w:p w14:paraId="64AF348D">
      <w:pPr>
        <w:numPr>
          <w:ilvl w:val="0"/>
          <w:numId w:val="0"/>
        </w:numPr>
        <w:spacing w:line="440" w:lineRule="exact"/>
        <w:jc w:val="center"/>
        <w:rPr>
          <w:rFonts w:hint="eastAsia" w:ascii="Times New Roman" w:hAnsi="Times New Roman" w:eastAsia="黑体" w:cs="Times New Roman"/>
          <w:color w:val="auto"/>
          <w:kern w:val="2"/>
          <w:sz w:val="28"/>
          <w:szCs w:val="28"/>
          <w:lang w:val="en-US" w:eastAsia="zh-CN" w:bidi="ar-SA"/>
        </w:rPr>
      </w:pPr>
    </w:p>
    <w:p w14:paraId="4180BF46">
      <w:pPr>
        <w:numPr>
          <w:ilvl w:val="0"/>
          <w:numId w:val="0"/>
        </w:numPr>
        <w:spacing w:line="440" w:lineRule="exact"/>
        <w:jc w:val="center"/>
        <w:rPr>
          <w:rFonts w:hint="eastAsia" w:ascii="Times New Roman" w:hAnsi="Times New Roman" w:eastAsia="黑体" w:cs="Times New Roman"/>
          <w:color w:val="auto"/>
          <w:kern w:val="2"/>
          <w:sz w:val="28"/>
          <w:szCs w:val="28"/>
          <w:lang w:val="en-US" w:eastAsia="zh-CN" w:bidi="ar-SA"/>
        </w:rPr>
      </w:pPr>
    </w:p>
    <w:p w14:paraId="0E7996AE">
      <w:pPr>
        <w:numPr>
          <w:ilvl w:val="0"/>
          <w:numId w:val="0"/>
        </w:numPr>
        <w:spacing w:line="440" w:lineRule="exact"/>
        <w:jc w:val="center"/>
        <w:rPr>
          <w:rFonts w:hint="eastAsia" w:ascii="Times New Roman" w:hAnsi="Times New Roman" w:eastAsia="黑体" w:cs="Times New Roman"/>
          <w:color w:val="auto"/>
          <w:kern w:val="2"/>
          <w:sz w:val="28"/>
          <w:szCs w:val="28"/>
          <w:lang w:val="en-US" w:eastAsia="zh-CN" w:bidi="ar-SA"/>
        </w:rPr>
      </w:pPr>
    </w:p>
    <w:p w14:paraId="29F1F030">
      <w:pPr>
        <w:numPr>
          <w:ilvl w:val="0"/>
          <w:numId w:val="0"/>
        </w:numPr>
        <w:spacing w:line="440" w:lineRule="exact"/>
        <w:jc w:val="center"/>
        <w:rPr>
          <w:rFonts w:hint="eastAsia" w:ascii="Times New Roman" w:hAnsi="Times New Roman" w:eastAsia="黑体" w:cs="Times New Roman"/>
          <w:color w:val="auto"/>
          <w:kern w:val="2"/>
          <w:sz w:val="28"/>
          <w:szCs w:val="28"/>
          <w:lang w:val="en-US" w:eastAsia="zh-CN" w:bidi="ar-SA"/>
        </w:rPr>
      </w:pPr>
    </w:p>
    <w:p w14:paraId="6E276D1C">
      <w:pPr>
        <w:numPr>
          <w:ilvl w:val="0"/>
          <w:numId w:val="0"/>
        </w:numPr>
        <w:spacing w:line="440" w:lineRule="exact"/>
        <w:jc w:val="center"/>
        <w:rPr>
          <w:rFonts w:hint="eastAsia" w:ascii="Times New Roman" w:hAnsi="Times New Roman" w:eastAsia="黑体" w:cs="Times New Roman"/>
          <w:color w:val="auto"/>
          <w:kern w:val="2"/>
          <w:sz w:val="28"/>
          <w:szCs w:val="28"/>
          <w:lang w:val="en-US" w:eastAsia="zh-CN" w:bidi="ar-SA"/>
        </w:rPr>
      </w:pPr>
    </w:p>
    <w:p w14:paraId="1387888B">
      <w:pPr>
        <w:numPr>
          <w:ilvl w:val="0"/>
          <w:numId w:val="0"/>
        </w:numPr>
        <w:spacing w:line="440" w:lineRule="exact"/>
        <w:jc w:val="center"/>
        <w:rPr>
          <w:rFonts w:hint="eastAsia" w:ascii="Times New Roman" w:hAnsi="Times New Roman" w:eastAsia="黑体" w:cs="Times New Roman"/>
          <w:color w:val="auto"/>
          <w:kern w:val="2"/>
          <w:sz w:val="28"/>
          <w:szCs w:val="28"/>
          <w:lang w:val="en-US" w:eastAsia="zh-CN" w:bidi="ar-SA"/>
        </w:rPr>
      </w:pPr>
    </w:p>
    <w:p w14:paraId="52C1A384">
      <w:pPr>
        <w:numPr>
          <w:ilvl w:val="0"/>
          <w:numId w:val="0"/>
        </w:numPr>
        <w:spacing w:line="440" w:lineRule="exact"/>
        <w:jc w:val="center"/>
        <w:rPr>
          <w:rFonts w:hint="eastAsia" w:ascii="Times New Roman" w:hAnsi="Times New Roman" w:eastAsia="黑体" w:cs="Times New Roman"/>
          <w:color w:val="auto"/>
          <w:kern w:val="2"/>
          <w:sz w:val="28"/>
          <w:szCs w:val="28"/>
          <w:lang w:val="en-US" w:eastAsia="zh-CN" w:bidi="ar-SA"/>
        </w:rPr>
      </w:pPr>
    </w:p>
    <w:p w14:paraId="3682CD6F">
      <w:pPr>
        <w:numPr>
          <w:ilvl w:val="0"/>
          <w:numId w:val="0"/>
        </w:numPr>
        <w:spacing w:line="440" w:lineRule="exact"/>
        <w:jc w:val="center"/>
        <w:rPr>
          <w:rFonts w:hint="eastAsia" w:ascii="Times New Roman" w:hAnsi="Times New Roman" w:eastAsia="黑体" w:cs="Times New Roman"/>
          <w:color w:val="auto"/>
          <w:kern w:val="2"/>
          <w:sz w:val="28"/>
          <w:szCs w:val="28"/>
          <w:lang w:val="en-US" w:eastAsia="zh-CN" w:bidi="ar-SA"/>
        </w:rPr>
      </w:pPr>
    </w:p>
    <w:p w14:paraId="631DE147">
      <w:pPr>
        <w:numPr>
          <w:ilvl w:val="0"/>
          <w:numId w:val="0"/>
        </w:numPr>
        <w:spacing w:line="440" w:lineRule="exact"/>
        <w:jc w:val="both"/>
        <w:rPr>
          <w:rFonts w:hint="eastAsia" w:ascii="Times New Roman" w:hAnsi="Times New Roman" w:eastAsia="黑体" w:cs="Times New Roman"/>
          <w:color w:val="auto"/>
          <w:kern w:val="2"/>
          <w:sz w:val="28"/>
          <w:szCs w:val="28"/>
          <w:lang w:val="en-US" w:eastAsia="zh-CN" w:bidi="ar-SA"/>
        </w:rPr>
      </w:pPr>
    </w:p>
    <w:p w14:paraId="13887335">
      <w:pPr>
        <w:numPr>
          <w:ilvl w:val="0"/>
          <w:numId w:val="0"/>
        </w:numPr>
        <w:spacing w:line="440" w:lineRule="exact"/>
        <w:jc w:val="both"/>
        <w:rPr>
          <w:rFonts w:hint="eastAsia" w:ascii="Times New Roman" w:hAnsi="Times New Roman" w:eastAsia="黑体" w:cs="Times New Roman"/>
          <w:color w:val="auto"/>
          <w:kern w:val="2"/>
          <w:sz w:val="28"/>
          <w:szCs w:val="28"/>
          <w:lang w:val="en-US" w:eastAsia="zh-CN" w:bidi="ar-SA"/>
        </w:rPr>
      </w:pPr>
    </w:p>
    <w:p w14:paraId="338EF41B">
      <w:pPr>
        <w:numPr>
          <w:ilvl w:val="0"/>
          <w:numId w:val="0"/>
        </w:numPr>
        <w:spacing w:line="440" w:lineRule="exact"/>
        <w:jc w:val="both"/>
        <w:rPr>
          <w:rFonts w:hint="eastAsia" w:ascii="Times New Roman" w:hAnsi="Times New Roman" w:eastAsia="黑体" w:cs="Times New Roman"/>
          <w:color w:val="auto"/>
          <w:kern w:val="2"/>
          <w:sz w:val="28"/>
          <w:szCs w:val="28"/>
          <w:lang w:val="en-US" w:eastAsia="zh-CN" w:bidi="ar-SA"/>
        </w:rPr>
      </w:pPr>
    </w:p>
    <w:p w14:paraId="62EB7E40">
      <w:pPr>
        <w:numPr>
          <w:ilvl w:val="0"/>
          <w:numId w:val="0"/>
        </w:numPr>
        <w:spacing w:line="440" w:lineRule="exact"/>
        <w:jc w:val="center"/>
        <w:rPr>
          <w:rFonts w:hint="eastAsia" w:ascii="Times New Roman" w:hAnsi="Times New Roman" w:eastAsia="黑体" w:cs="Times New Roman"/>
          <w:color w:val="auto"/>
          <w:sz w:val="28"/>
          <w:szCs w:val="28"/>
          <w:lang w:val="en-US" w:eastAsia="zh-CN"/>
        </w:rPr>
      </w:pPr>
      <w:r>
        <w:rPr>
          <w:rFonts w:hint="eastAsia" w:ascii="Times New Roman" w:hAnsi="Times New Roman" w:eastAsia="黑体" w:cs="Times New Roman"/>
          <w:color w:val="auto"/>
          <w:sz w:val="28"/>
          <w:szCs w:val="28"/>
          <w:lang w:val="en-US" w:eastAsia="zh-CN"/>
        </w:rPr>
        <w:t>2.基本资质条件</w:t>
      </w:r>
    </w:p>
    <w:p w14:paraId="7C422B60">
      <w:pPr>
        <w:widowControl w:val="0"/>
        <w:spacing w:after="120"/>
        <w:jc w:val="both"/>
        <w:rPr>
          <w:rFonts w:hint="eastAsia" w:ascii="Times New Roman" w:hAnsi="Times New Roman" w:eastAsia="黑体" w:cs="Times New Roman"/>
          <w:color w:val="auto"/>
          <w:kern w:val="2"/>
          <w:sz w:val="28"/>
          <w:szCs w:val="28"/>
          <w:lang w:val="en-US" w:eastAsia="zh-CN" w:bidi="ar-SA"/>
        </w:rPr>
      </w:pPr>
    </w:p>
    <w:p w14:paraId="0750D9C4">
      <w:pPr>
        <w:widowControl/>
        <w:kinsoku w:val="0"/>
        <w:autoSpaceDE w:val="0"/>
        <w:autoSpaceDN w:val="0"/>
        <w:adjustRightInd w:val="0"/>
        <w:snapToGrid w:val="0"/>
        <w:spacing w:before="47" w:line="205" w:lineRule="auto"/>
        <w:ind w:left="282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附录</w:t>
      </w:r>
      <w:r>
        <w:rPr>
          <w:rFonts w:ascii="宋体" w:hAnsi="宋体" w:eastAsia="宋体" w:cs="宋体"/>
          <w:snapToGrid w:val="0"/>
          <w:color w:val="000000"/>
          <w:spacing w:val="-33"/>
          <w:kern w:val="0"/>
          <w:sz w:val="24"/>
          <w:szCs w:val="24"/>
          <w:lang w:eastAsia="en-US"/>
        </w:rPr>
        <w:t xml:space="preserve"> </w:t>
      </w:r>
      <w:r>
        <w:rPr>
          <w:rFonts w:ascii="宋体" w:hAnsi="宋体" w:eastAsia="宋体" w:cs="宋体"/>
          <w:snapToGrid w:val="0"/>
          <w:color w:val="000000"/>
          <w:spacing w:val="-3"/>
          <w:kern w:val="0"/>
          <w:sz w:val="24"/>
          <w:szCs w:val="24"/>
          <w:lang w:eastAsia="en-US"/>
        </w:rPr>
        <w:t>1  资格审查条件(资质最低条件)</w:t>
      </w:r>
    </w:p>
    <w:tbl>
      <w:tblPr>
        <w:tblStyle w:val="4"/>
        <w:tblW w:w="9502" w:type="dxa"/>
        <w:tblInd w:w="5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502"/>
      </w:tblGrid>
      <w:tr w14:paraId="131722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trPr>
        <w:tc>
          <w:tcPr>
            <w:tcW w:w="9502" w:type="dxa"/>
            <w:vAlign w:val="top"/>
          </w:tcPr>
          <w:p w14:paraId="62B20B61">
            <w:pPr>
              <w:kinsoku w:val="0"/>
              <w:autoSpaceDE w:val="0"/>
              <w:autoSpaceDN w:val="0"/>
              <w:adjustRightInd w:val="0"/>
              <w:snapToGrid w:val="0"/>
              <w:spacing w:before="146" w:line="220" w:lineRule="auto"/>
              <w:ind w:left="403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资质等级要求</w:t>
            </w:r>
          </w:p>
        </w:tc>
      </w:tr>
      <w:tr w14:paraId="7D1FDB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86" w:hRule="atLeast"/>
        </w:trPr>
        <w:tc>
          <w:tcPr>
            <w:tcW w:w="9502" w:type="dxa"/>
            <w:vAlign w:val="top"/>
          </w:tcPr>
          <w:p w14:paraId="11F54DBF">
            <w:pPr>
              <w:kinsoku w:val="0"/>
              <w:autoSpaceDE w:val="0"/>
              <w:autoSpaceDN w:val="0"/>
              <w:adjustRightInd w:val="0"/>
              <w:snapToGrid w:val="0"/>
              <w:spacing w:before="293" w:line="220" w:lineRule="auto"/>
              <w:ind w:left="52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具有有效的营业执照，具有有效的《食品经营许可证》或《食品</w:t>
            </w:r>
            <w:r>
              <w:rPr>
                <w:rFonts w:ascii="宋体" w:hAnsi="宋体" w:eastAsia="宋体" w:cs="宋体"/>
                <w:snapToGrid w:val="0"/>
                <w:color w:val="000000"/>
                <w:spacing w:val="-2"/>
                <w:kern w:val="0"/>
                <w:sz w:val="21"/>
                <w:szCs w:val="21"/>
                <w:lang w:val="en-US" w:eastAsia="en-US" w:bidi="ar-SA"/>
              </w:rPr>
              <w:t>生产许可证》。</w:t>
            </w:r>
          </w:p>
        </w:tc>
      </w:tr>
    </w:tbl>
    <w:p w14:paraId="71481455">
      <w:pPr>
        <w:widowControl/>
        <w:kinsoku w:val="0"/>
        <w:autoSpaceDE w:val="0"/>
        <w:autoSpaceDN w:val="0"/>
        <w:adjustRightInd w:val="0"/>
        <w:snapToGrid w:val="0"/>
        <w:spacing w:before="32" w:line="220" w:lineRule="auto"/>
        <w:ind w:left="278"/>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注：须提供有效的营业执照及相关证书</w:t>
      </w:r>
    </w:p>
    <w:p w14:paraId="783739EB">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14:paraId="2510B806">
      <w:pPr>
        <w:widowControl/>
        <w:kinsoku w:val="0"/>
        <w:autoSpaceDE w:val="0"/>
        <w:autoSpaceDN w:val="0"/>
        <w:adjustRightInd w:val="0"/>
        <w:snapToGrid w:val="0"/>
        <w:spacing w:before="78" w:line="220" w:lineRule="auto"/>
        <w:ind w:left="282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附录</w:t>
      </w:r>
      <w:r>
        <w:rPr>
          <w:rFonts w:ascii="宋体" w:hAnsi="宋体" w:eastAsia="宋体" w:cs="宋体"/>
          <w:snapToGrid w:val="0"/>
          <w:color w:val="000000"/>
          <w:spacing w:val="-33"/>
          <w:kern w:val="0"/>
          <w:sz w:val="24"/>
          <w:szCs w:val="24"/>
          <w:lang w:eastAsia="en-US"/>
        </w:rPr>
        <w:t xml:space="preserve"> </w:t>
      </w:r>
      <w:r>
        <w:rPr>
          <w:rFonts w:ascii="宋体" w:hAnsi="宋体" w:eastAsia="宋体" w:cs="宋体"/>
          <w:snapToGrid w:val="0"/>
          <w:color w:val="000000"/>
          <w:spacing w:val="-3"/>
          <w:kern w:val="0"/>
          <w:sz w:val="24"/>
          <w:szCs w:val="24"/>
          <w:lang w:eastAsia="en-US"/>
        </w:rPr>
        <w:t>2  资格审查条件(业绩最低要求)</w:t>
      </w:r>
    </w:p>
    <w:p w14:paraId="7E5BBD8A">
      <w:pPr>
        <w:widowControl/>
        <w:kinsoku w:val="0"/>
        <w:autoSpaceDE w:val="0"/>
        <w:autoSpaceDN w:val="0"/>
        <w:adjustRightInd w:val="0"/>
        <w:snapToGrid w:val="0"/>
        <w:spacing w:line="143" w:lineRule="exact"/>
        <w:jc w:val="left"/>
        <w:textAlignment w:val="baseline"/>
        <w:rPr>
          <w:rFonts w:ascii="Arial" w:hAnsi="Arial" w:eastAsia="Arial" w:cs="Arial"/>
          <w:snapToGrid w:val="0"/>
          <w:color w:val="000000"/>
          <w:kern w:val="0"/>
          <w:szCs w:val="21"/>
          <w:lang w:eastAsia="en-US"/>
        </w:rPr>
      </w:pPr>
    </w:p>
    <w:tbl>
      <w:tblPr>
        <w:tblStyle w:val="4"/>
        <w:tblW w:w="9427" w:type="dxa"/>
        <w:tblInd w:w="9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427"/>
      </w:tblGrid>
      <w:tr w14:paraId="5F8630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trPr>
        <w:tc>
          <w:tcPr>
            <w:tcW w:w="9427" w:type="dxa"/>
            <w:vAlign w:val="top"/>
          </w:tcPr>
          <w:p w14:paraId="0B137315">
            <w:pPr>
              <w:kinsoku w:val="0"/>
              <w:autoSpaceDE w:val="0"/>
              <w:autoSpaceDN w:val="0"/>
              <w:adjustRightInd w:val="0"/>
              <w:snapToGrid w:val="0"/>
              <w:spacing w:before="136" w:line="215" w:lineRule="auto"/>
              <w:ind w:left="423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准入条件</w:t>
            </w:r>
          </w:p>
        </w:tc>
      </w:tr>
      <w:tr w14:paraId="41B238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4" w:hRule="atLeast"/>
        </w:trPr>
        <w:tc>
          <w:tcPr>
            <w:tcW w:w="9427" w:type="dxa"/>
            <w:vAlign w:val="top"/>
          </w:tcPr>
          <w:p w14:paraId="2CD55B8B">
            <w:pPr>
              <w:kinsoku w:val="0"/>
              <w:autoSpaceDE w:val="0"/>
              <w:autoSpaceDN w:val="0"/>
              <w:adjustRightInd w:val="0"/>
              <w:snapToGrid w:val="0"/>
              <w:spacing w:before="39" w:line="230" w:lineRule="auto"/>
              <w:ind w:left="101" w:right="17" w:firstLine="422"/>
              <w:jc w:val="both"/>
              <w:textAlignment w:val="baseline"/>
              <w:rPr>
                <w:rFonts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2023 年 1 月 1 日至今(以合同签订时间为准)具备 1 个单项合同金额不低于50万元的类似食材供货业绩。业绩内容须涵盖采购范围（烤肠、玉米、关东煮、炒饭、卤味、粽子、饭团、粥、面条、馄饨、水饺、包子、饼、便当）其中3个类别及以上。</w:t>
            </w:r>
          </w:p>
        </w:tc>
      </w:tr>
    </w:tbl>
    <w:p w14:paraId="551470B6">
      <w:pPr>
        <w:widowControl/>
        <w:kinsoku w:val="0"/>
        <w:autoSpaceDE w:val="0"/>
        <w:autoSpaceDN w:val="0"/>
        <w:adjustRightInd w:val="0"/>
        <w:snapToGrid w:val="0"/>
        <w:spacing w:before="32" w:line="301" w:lineRule="auto"/>
        <w:ind w:left="487" w:leftChars="232" w:right="310" w:firstLine="203" w:firstLineChars="98"/>
        <w:jc w:val="both"/>
        <w:textAlignment w:val="baseline"/>
        <w:rPr>
          <w:rFonts w:ascii="Arial" w:hAnsi="Arial" w:eastAsia="Arial" w:cs="Arial"/>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eastAsia="en-US"/>
        </w:rPr>
        <w:t>注：</w:t>
      </w:r>
      <w:r>
        <w:rPr>
          <w:rFonts w:hint="eastAsia" w:ascii="宋体" w:hAnsi="宋体" w:eastAsia="Arial" w:cs="Times New Roman"/>
          <w:snapToGrid w:val="0"/>
          <w:color w:val="auto"/>
          <w:kern w:val="0"/>
          <w:sz w:val="21"/>
          <w:szCs w:val="21"/>
          <w:highlight w:val="none"/>
          <w:lang w:val="en-US" w:eastAsia="zh-CN"/>
        </w:rPr>
        <w:t>业绩须提供合同（合同中反映不出具体采购内容的，须提供合同清单），如合同（含合同清单）不能体现具体评审因素的，须提供合同甲方（业主）盖章的能体现评审因素的证明材料，否则业绩不予认可。</w:t>
      </w:r>
    </w:p>
    <w:p w14:paraId="42BDF644">
      <w:pPr>
        <w:widowControl/>
        <w:kinsoku w:val="0"/>
        <w:autoSpaceDE w:val="0"/>
        <w:autoSpaceDN w:val="0"/>
        <w:adjustRightInd w:val="0"/>
        <w:snapToGrid w:val="0"/>
        <w:spacing w:before="79" w:line="220" w:lineRule="auto"/>
        <w:ind w:left="25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附录</w:t>
      </w:r>
      <w:r>
        <w:rPr>
          <w:rFonts w:ascii="宋体" w:hAnsi="宋体" w:eastAsia="宋体" w:cs="宋体"/>
          <w:snapToGrid w:val="0"/>
          <w:color w:val="000000"/>
          <w:spacing w:val="-43"/>
          <w:kern w:val="0"/>
          <w:sz w:val="24"/>
          <w:szCs w:val="24"/>
          <w:lang w:eastAsia="en-US"/>
        </w:rPr>
        <w:t xml:space="preserve"> </w:t>
      </w:r>
      <w:r>
        <w:rPr>
          <w:rFonts w:ascii="宋体" w:hAnsi="宋体" w:eastAsia="宋体" w:cs="宋体"/>
          <w:snapToGrid w:val="0"/>
          <w:color w:val="000000"/>
          <w:spacing w:val="-3"/>
          <w:kern w:val="0"/>
          <w:sz w:val="24"/>
          <w:szCs w:val="24"/>
          <w:lang w:eastAsia="en-US"/>
        </w:rPr>
        <w:t>3  资格审查条件（信誉要求）</w:t>
      </w:r>
    </w:p>
    <w:p w14:paraId="14E22DD9">
      <w:pPr>
        <w:widowControl/>
        <w:kinsoku w:val="0"/>
        <w:autoSpaceDE w:val="0"/>
        <w:autoSpaceDN w:val="0"/>
        <w:adjustRightInd w:val="0"/>
        <w:snapToGrid w:val="0"/>
        <w:spacing w:line="66" w:lineRule="exact"/>
        <w:jc w:val="left"/>
        <w:textAlignment w:val="baseline"/>
        <w:rPr>
          <w:rFonts w:ascii="Arial" w:hAnsi="Arial" w:eastAsia="Arial" w:cs="Arial"/>
          <w:snapToGrid w:val="0"/>
          <w:color w:val="000000"/>
          <w:kern w:val="0"/>
          <w:szCs w:val="21"/>
          <w:lang w:eastAsia="en-US"/>
        </w:rPr>
      </w:pPr>
    </w:p>
    <w:tbl>
      <w:tblPr>
        <w:tblStyle w:val="4"/>
        <w:tblW w:w="958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580"/>
      </w:tblGrid>
      <w:tr w14:paraId="780A76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2" w:hRule="atLeast"/>
        </w:trPr>
        <w:tc>
          <w:tcPr>
            <w:tcW w:w="9580" w:type="dxa"/>
            <w:vAlign w:val="top"/>
          </w:tcPr>
          <w:p w14:paraId="1B091F6B">
            <w:pPr>
              <w:kinsoku w:val="0"/>
              <w:autoSpaceDE w:val="0"/>
              <w:autoSpaceDN w:val="0"/>
              <w:adjustRightInd w:val="0"/>
              <w:snapToGrid w:val="0"/>
              <w:spacing w:before="192" w:line="220" w:lineRule="auto"/>
              <w:ind w:left="412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rPr>
              <w:t>信</w:t>
            </w:r>
            <w:r>
              <w:rPr>
                <w:rFonts w:ascii="宋体" w:hAnsi="宋体" w:eastAsia="宋体" w:cs="宋体"/>
                <w:snapToGrid w:val="0"/>
                <w:color w:val="000000"/>
                <w:spacing w:val="11"/>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誉</w:t>
            </w:r>
            <w:r>
              <w:rPr>
                <w:rFonts w:ascii="宋体" w:hAnsi="宋体" w:eastAsia="宋体" w:cs="宋体"/>
                <w:snapToGrid w:val="0"/>
                <w:color w:val="000000"/>
                <w:spacing w:val="10"/>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要</w:t>
            </w:r>
            <w:r>
              <w:rPr>
                <w:rFonts w:ascii="宋体" w:hAnsi="宋体" w:eastAsia="宋体" w:cs="宋体"/>
                <w:snapToGrid w:val="0"/>
                <w:color w:val="000000"/>
                <w:spacing w:val="11"/>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求</w:t>
            </w:r>
          </w:p>
        </w:tc>
      </w:tr>
      <w:tr w14:paraId="532684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909" w:hRule="atLeast"/>
        </w:trPr>
        <w:tc>
          <w:tcPr>
            <w:tcW w:w="9580" w:type="dxa"/>
            <w:vAlign w:val="top"/>
          </w:tcPr>
          <w:p w14:paraId="7BACF56B">
            <w:pPr>
              <w:kinsoku w:val="0"/>
              <w:autoSpaceDE w:val="0"/>
              <w:autoSpaceDN w:val="0"/>
              <w:adjustRightInd w:val="0"/>
              <w:snapToGrid w:val="0"/>
              <w:spacing w:before="30" w:line="218" w:lineRule="auto"/>
              <w:ind w:left="41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①未被责令停业，暂扣或吊销执照，或吊销资质证书；</w:t>
            </w:r>
          </w:p>
          <w:p w14:paraId="0F9367D7">
            <w:pPr>
              <w:kinsoku w:val="0"/>
              <w:autoSpaceDE w:val="0"/>
              <w:autoSpaceDN w:val="0"/>
              <w:adjustRightInd w:val="0"/>
              <w:snapToGrid w:val="0"/>
              <w:spacing w:before="24" w:line="218" w:lineRule="auto"/>
              <w:ind w:left="4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②未进入清算程序，或被宣告破产，或其他丧失履约能力的情形；</w:t>
            </w:r>
          </w:p>
          <w:p w14:paraId="61BDE6FF">
            <w:pPr>
              <w:kinsoku w:val="0"/>
              <w:autoSpaceDE w:val="0"/>
              <w:autoSpaceDN w:val="0"/>
              <w:adjustRightInd w:val="0"/>
              <w:snapToGrid w:val="0"/>
              <w:spacing w:before="24" w:line="214" w:lineRule="auto"/>
              <w:ind w:left="4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③在国家企业信用信息公示系统（</w:t>
            </w:r>
            <w:r>
              <w:rPr>
                <w:rFonts w:ascii="宋体" w:hAnsi="宋体" w:eastAsia="宋体" w:cs="宋体"/>
                <w:snapToGrid w:val="0"/>
                <w:color w:val="000000"/>
                <w:kern w:val="0"/>
                <w:sz w:val="21"/>
                <w:szCs w:val="21"/>
                <w:lang w:val="en-US" w:eastAsia="en-US" w:bidi="ar-SA"/>
              </w:rPr>
              <w:fldChar w:fldCharType="begin"/>
            </w:r>
            <w:r>
              <w:rPr>
                <w:rFonts w:ascii="宋体" w:hAnsi="宋体" w:eastAsia="宋体" w:cs="宋体"/>
                <w:snapToGrid w:val="0"/>
                <w:color w:val="000000"/>
                <w:kern w:val="0"/>
                <w:sz w:val="21"/>
                <w:szCs w:val="21"/>
                <w:lang w:val="en-US" w:eastAsia="en-US" w:bidi="ar-SA"/>
              </w:rPr>
              <w:instrText xml:space="preserve"> HYPERLINK "http://www.gsxt.gov.cn" </w:instrText>
            </w:r>
            <w:r>
              <w:rPr>
                <w:rFonts w:ascii="宋体" w:hAnsi="宋体" w:eastAsia="宋体" w:cs="宋体"/>
                <w:snapToGrid w:val="0"/>
                <w:color w:val="000000"/>
                <w:kern w:val="0"/>
                <w:sz w:val="21"/>
                <w:szCs w:val="21"/>
                <w:lang w:val="en-US" w:eastAsia="en-US" w:bidi="ar-SA"/>
              </w:rPr>
              <w:fldChar w:fldCharType="separate"/>
            </w:r>
            <w:r>
              <w:rPr>
                <w:rFonts w:ascii="宋体" w:hAnsi="宋体" w:eastAsia="宋体" w:cs="宋体"/>
                <w:snapToGrid w:val="0"/>
                <w:color w:val="000000"/>
                <w:spacing w:val="-1"/>
                <w:kern w:val="0"/>
                <w:sz w:val="21"/>
                <w:szCs w:val="21"/>
                <w:lang w:val="en-US" w:eastAsia="en-US" w:bidi="ar-SA"/>
              </w:rPr>
              <w:t>http://www.gsxt.gov.cn</w:t>
            </w:r>
            <w:r>
              <w:rPr>
                <w:rFonts w:ascii="宋体" w:hAnsi="宋体" w:eastAsia="宋体" w:cs="宋体"/>
                <w:snapToGrid w:val="0"/>
                <w:color w:val="000000"/>
                <w:spacing w:val="-1"/>
                <w:kern w:val="0"/>
                <w:sz w:val="21"/>
                <w:szCs w:val="21"/>
                <w:lang w:val="en-US" w:eastAsia="en-US" w:bidi="ar-SA"/>
              </w:rPr>
              <w:fldChar w:fldCharType="end"/>
            </w:r>
            <w:r>
              <w:rPr>
                <w:rFonts w:ascii="宋体" w:hAnsi="宋体" w:eastAsia="宋体" w:cs="宋体"/>
                <w:snapToGrid w:val="0"/>
                <w:color w:val="000000"/>
                <w:spacing w:val="-1"/>
                <w:kern w:val="0"/>
                <w:sz w:val="21"/>
                <w:szCs w:val="21"/>
                <w:lang w:val="en-US" w:eastAsia="en-US" w:bidi="ar-SA"/>
              </w:rPr>
              <w:t>）中未被列入严重违法失信企业名单；</w:t>
            </w:r>
          </w:p>
          <w:p w14:paraId="2EF49849">
            <w:pPr>
              <w:kinsoku w:val="0"/>
              <w:autoSpaceDE w:val="0"/>
              <w:autoSpaceDN w:val="0"/>
              <w:adjustRightInd w:val="0"/>
              <w:snapToGrid w:val="0"/>
              <w:spacing w:before="28" w:line="214" w:lineRule="auto"/>
              <w:ind w:left="4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④在中国执行信息公开网（</w:t>
            </w:r>
            <w:r>
              <w:rPr>
                <w:rFonts w:ascii="宋体" w:hAnsi="宋体" w:eastAsia="宋体" w:cs="宋体"/>
                <w:snapToGrid w:val="0"/>
                <w:color w:val="000000"/>
                <w:kern w:val="0"/>
                <w:sz w:val="21"/>
                <w:szCs w:val="21"/>
                <w:lang w:val="en-US" w:eastAsia="en-US" w:bidi="ar-SA"/>
              </w:rPr>
              <w:fldChar w:fldCharType="begin"/>
            </w:r>
            <w:r>
              <w:rPr>
                <w:rFonts w:ascii="宋体" w:hAnsi="宋体" w:eastAsia="宋体" w:cs="宋体"/>
                <w:snapToGrid w:val="0"/>
                <w:color w:val="000000"/>
                <w:kern w:val="0"/>
                <w:sz w:val="21"/>
                <w:szCs w:val="21"/>
                <w:lang w:val="en-US" w:eastAsia="en-US" w:bidi="ar-SA"/>
              </w:rPr>
              <w:instrText xml:space="preserve"> HYPERLINK "http://zxgk.court.gov.cn" </w:instrText>
            </w:r>
            <w:r>
              <w:rPr>
                <w:rFonts w:ascii="宋体" w:hAnsi="宋体" w:eastAsia="宋体" w:cs="宋体"/>
                <w:snapToGrid w:val="0"/>
                <w:color w:val="000000"/>
                <w:kern w:val="0"/>
                <w:sz w:val="21"/>
                <w:szCs w:val="21"/>
                <w:lang w:val="en-US" w:eastAsia="en-US" w:bidi="ar-SA"/>
              </w:rPr>
              <w:fldChar w:fldCharType="separate"/>
            </w:r>
            <w:r>
              <w:rPr>
                <w:rFonts w:ascii="宋体" w:hAnsi="宋体" w:eastAsia="宋体" w:cs="宋体"/>
                <w:snapToGrid w:val="0"/>
                <w:color w:val="000000"/>
                <w:spacing w:val="-1"/>
                <w:kern w:val="0"/>
                <w:sz w:val="21"/>
                <w:szCs w:val="21"/>
                <w:lang w:val="en-US" w:eastAsia="en-US" w:bidi="ar-SA"/>
              </w:rPr>
              <w:t>http://zxgk.court.gov.cn</w:t>
            </w:r>
            <w:r>
              <w:rPr>
                <w:rFonts w:ascii="宋体" w:hAnsi="宋体" w:eastAsia="宋体" w:cs="宋体"/>
                <w:snapToGrid w:val="0"/>
                <w:color w:val="000000"/>
                <w:spacing w:val="-1"/>
                <w:kern w:val="0"/>
                <w:sz w:val="21"/>
                <w:szCs w:val="21"/>
                <w:lang w:val="en-US" w:eastAsia="en-US" w:bidi="ar-SA"/>
              </w:rPr>
              <w:fldChar w:fldCharType="end"/>
            </w:r>
            <w:r>
              <w:rPr>
                <w:rFonts w:ascii="宋体" w:hAnsi="宋体" w:eastAsia="宋体" w:cs="宋体"/>
                <w:snapToGrid w:val="0"/>
                <w:color w:val="000000"/>
                <w:spacing w:val="-1"/>
                <w:kern w:val="0"/>
                <w:sz w:val="21"/>
                <w:szCs w:val="21"/>
                <w:lang w:val="en-US" w:eastAsia="en-US" w:bidi="ar-SA"/>
              </w:rPr>
              <w:t>）中未被列入失信被执行人名</w:t>
            </w:r>
            <w:r>
              <w:rPr>
                <w:rFonts w:ascii="宋体" w:hAnsi="宋体" w:eastAsia="宋体" w:cs="宋体"/>
                <w:snapToGrid w:val="0"/>
                <w:color w:val="000000"/>
                <w:spacing w:val="-2"/>
                <w:kern w:val="0"/>
                <w:sz w:val="21"/>
                <w:szCs w:val="21"/>
                <w:lang w:val="en-US" w:eastAsia="en-US" w:bidi="ar-SA"/>
              </w:rPr>
              <w:t>单；</w:t>
            </w:r>
          </w:p>
          <w:p w14:paraId="58AEB30C">
            <w:pPr>
              <w:kinsoku w:val="0"/>
              <w:autoSpaceDE w:val="0"/>
              <w:autoSpaceDN w:val="0"/>
              <w:adjustRightInd w:val="0"/>
              <w:snapToGrid w:val="0"/>
              <w:spacing w:before="28" w:line="218" w:lineRule="auto"/>
              <w:ind w:right="17"/>
              <w:jc w:val="center"/>
              <w:textAlignment w:val="baseline"/>
              <w:rPr>
                <w:rFonts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zh-CN" w:bidi="ar-SA"/>
              </w:rPr>
              <w:t xml:space="preserve">  </w:t>
            </w:r>
            <w:r>
              <w:rPr>
                <w:rFonts w:ascii="宋体" w:hAnsi="宋体" w:eastAsia="宋体" w:cs="宋体"/>
                <w:snapToGrid w:val="0"/>
                <w:color w:val="000000"/>
                <w:spacing w:val="-3"/>
                <w:kern w:val="0"/>
                <w:sz w:val="21"/>
                <w:szCs w:val="21"/>
                <w:lang w:val="en-US" w:eastAsia="en-US" w:bidi="ar-SA"/>
              </w:rPr>
              <w:t>⑤</w:t>
            </w:r>
            <w:r>
              <w:rPr>
                <w:rFonts w:hint="eastAsia" w:ascii="宋体" w:hAnsi="宋体" w:eastAsia="宋体" w:cs="宋体"/>
                <w:snapToGrid w:val="0"/>
                <w:color w:val="000000"/>
                <w:spacing w:val="-3"/>
                <w:kern w:val="0"/>
                <w:sz w:val="21"/>
                <w:szCs w:val="21"/>
                <w:lang w:val="en-US" w:eastAsia="zh-CN" w:bidi="ar-SA"/>
              </w:rPr>
              <w:t>报名</w:t>
            </w:r>
            <w:r>
              <w:rPr>
                <w:rFonts w:ascii="宋体" w:hAnsi="宋体" w:eastAsia="宋体" w:cs="宋体"/>
                <w:snapToGrid w:val="0"/>
                <w:color w:val="000000"/>
                <w:spacing w:val="-3"/>
                <w:kern w:val="0"/>
                <w:sz w:val="21"/>
                <w:szCs w:val="21"/>
                <w:lang w:val="en-US" w:eastAsia="en-US" w:bidi="ar-SA"/>
              </w:rPr>
              <w:t>人或其法定代表人在近三年内（自</w:t>
            </w:r>
            <w:r>
              <w:rPr>
                <w:rFonts w:hint="eastAsia" w:ascii="宋体" w:hAnsi="宋体" w:eastAsia="宋体" w:cs="宋体"/>
                <w:snapToGrid w:val="0"/>
                <w:color w:val="000000"/>
                <w:spacing w:val="-3"/>
                <w:kern w:val="0"/>
                <w:sz w:val="21"/>
                <w:szCs w:val="21"/>
                <w:lang w:val="en-US" w:eastAsia="zh-CN" w:bidi="ar-SA"/>
              </w:rPr>
              <w:t>报名</w:t>
            </w:r>
            <w:r>
              <w:rPr>
                <w:rFonts w:ascii="宋体" w:hAnsi="宋体" w:eastAsia="宋体" w:cs="宋体"/>
                <w:snapToGrid w:val="0"/>
                <w:color w:val="000000"/>
                <w:spacing w:val="-3"/>
                <w:kern w:val="0"/>
                <w:sz w:val="21"/>
                <w:szCs w:val="21"/>
                <w:lang w:val="en-US" w:eastAsia="en-US" w:bidi="ar-SA"/>
              </w:rPr>
              <w:t>文件递交截止之日向前追</w:t>
            </w:r>
            <w:r>
              <w:rPr>
                <w:rFonts w:ascii="宋体" w:hAnsi="宋体" w:eastAsia="宋体" w:cs="宋体"/>
                <w:snapToGrid w:val="0"/>
                <w:color w:val="000000"/>
                <w:spacing w:val="-4"/>
                <w:kern w:val="0"/>
                <w:sz w:val="21"/>
                <w:szCs w:val="21"/>
                <w:lang w:val="en-US" w:eastAsia="en-US" w:bidi="ar-SA"/>
              </w:rPr>
              <w:t>溯</w:t>
            </w:r>
            <w:r>
              <w:rPr>
                <w:rFonts w:ascii="宋体" w:hAnsi="宋体" w:eastAsia="宋体" w:cs="宋体"/>
                <w:snapToGrid w:val="0"/>
                <w:color w:val="000000"/>
                <w:spacing w:val="-40"/>
                <w:kern w:val="0"/>
                <w:sz w:val="21"/>
                <w:szCs w:val="21"/>
                <w:lang w:val="en-US" w:eastAsia="en-US" w:bidi="ar-SA"/>
              </w:rPr>
              <w:t xml:space="preserve"> </w:t>
            </w:r>
            <w:r>
              <w:rPr>
                <w:rFonts w:ascii="宋体" w:hAnsi="宋体" w:eastAsia="宋体" w:cs="宋体"/>
                <w:snapToGrid w:val="0"/>
                <w:color w:val="000000"/>
                <w:spacing w:val="-4"/>
                <w:kern w:val="0"/>
                <w:sz w:val="21"/>
                <w:szCs w:val="21"/>
                <w:lang w:val="en-US" w:eastAsia="en-US" w:bidi="ar-SA"/>
              </w:rPr>
              <w:t>3</w:t>
            </w:r>
            <w:r>
              <w:rPr>
                <w:rFonts w:ascii="宋体" w:hAnsi="宋体" w:eastAsia="宋体" w:cs="宋体"/>
                <w:snapToGrid w:val="0"/>
                <w:color w:val="000000"/>
                <w:spacing w:val="-44"/>
                <w:kern w:val="0"/>
                <w:sz w:val="21"/>
                <w:szCs w:val="21"/>
                <w:lang w:val="en-US" w:eastAsia="en-US" w:bidi="ar-SA"/>
              </w:rPr>
              <w:t xml:space="preserve"> </w:t>
            </w:r>
            <w:r>
              <w:rPr>
                <w:rFonts w:ascii="宋体" w:hAnsi="宋体" w:eastAsia="宋体" w:cs="宋体"/>
                <w:snapToGrid w:val="0"/>
                <w:color w:val="000000"/>
                <w:spacing w:val="-4"/>
                <w:kern w:val="0"/>
                <w:sz w:val="21"/>
                <w:szCs w:val="21"/>
                <w:lang w:val="en-US" w:eastAsia="en-US" w:bidi="ar-SA"/>
              </w:rPr>
              <w:t>年）未有行贿犯罪行为。</w:t>
            </w:r>
          </w:p>
          <w:p w14:paraId="23760BB7">
            <w:pPr>
              <w:kinsoku w:val="0"/>
              <w:autoSpaceDE w:val="0"/>
              <w:autoSpaceDN w:val="0"/>
              <w:adjustRightInd w:val="0"/>
              <w:snapToGrid w:val="0"/>
              <w:spacing w:before="25" w:line="218" w:lineRule="auto"/>
              <w:ind w:left="4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⑥在最近三年内未发生重大产品质量问题；</w:t>
            </w:r>
          </w:p>
          <w:p w14:paraId="5458CF24">
            <w:pPr>
              <w:kinsoku w:val="0"/>
              <w:autoSpaceDE w:val="0"/>
              <w:autoSpaceDN w:val="0"/>
              <w:adjustRightInd w:val="0"/>
              <w:snapToGrid w:val="0"/>
              <w:spacing w:before="24" w:line="206" w:lineRule="auto"/>
              <w:ind w:left="4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⑦没有法律法规规定的其他情形。</w:t>
            </w:r>
          </w:p>
        </w:tc>
      </w:tr>
    </w:tbl>
    <w:p w14:paraId="0B138BE2">
      <w:pPr>
        <w:kinsoku w:val="0"/>
        <w:autoSpaceDE w:val="0"/>
        <w:autoSpaceDN w:val="0"/>
        <w:adjustRightInd w:val="0"/>
        <w:snapToGrid w:val="0"/>
        <w:spacing w:line="359" w:lineRule="auto"/>
        <w:jc w:val="left"/>
        <w:textAlignment w:val="baseline"/>
        <w:rPr>
          <w:rFonts w:ascii="Arial" w:hAnsi="Arial" w:eastAsia="Arial" w:cs="Arial"/>
          <w:snapToGrid w:val="0"/>
          <w:color w:val="000000"/>
          <w:kern w:val="0"/>
          <w:sz w:val="21"/>
          <w:szCs w:val="21"/>
          <w:lang w:val="en-US" w:eastAsia="en-US" w:bidi="ar-SA"/>
        </w:rPr>
      </w:pPr>
    </w:p>
    <w:p w14:paraId="65A1A08B">
      <w:pPr>
        <w:widowControl/>
        <w:kinsoku w:val="0"/>
        <w:autoSpaceDE w:val="0"/>
        <w:autoSpaceDN w:val="0"/>
        <w:adjustRightInd w:val="0"/>
        <w:snapToGrid w:val="0"/>
        <w:spacing w:before="78" w:line="220" w:lineRule="auto"/>
        <w:ind w:left="294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附录</w:t>
      </w:r>
      <w:r>
        <w:rPr>
          <w:rFonts w:ascii="宋体" w:hAnsi="宋体" w:eastAsia="宋体" w:cs="宋体"/>
          <w:snapToGrid w:val="0"/>
          <w:color w:val="000000"/>
          <w:spacing w:val="-51"/>
          <w:kern w:val="0"/>
          <w:sz w:val="24"/>
          <w:szCs w:val="24"/>
          <w:lang w:eastAsia="en-US"/>
        </w:rPr>
        <w:t xml:space="preserve"> </w:t>
      </w:r>
      <w:r>
        <w:rPr>
          <w:rFonts w:ascii="宋体" w:hAnsi="宋体" w:eastAsia="宋体" w:cs="宋体"/>
          <w:snapToGrid w:val="0"/>
          <w:color w:val="000000"/>
          <w:spacing w:val="-3"/>
          <w:kern w:val="0"/>
          <w:sz w:val="24"/>
          <w:szCs w:val="24"/>
          <w:lang w:eastAsia="en-US"/>
        </w:rPr>
        <w:t>4  资格审查条件（其他要求）</w:t>
      </w:r>
    </w:p>
    <w:p w14:paraId="54D2248A">
      <w:pPr>
        <w:widowControl/>
        <w:kinsoku w:val="0"/>
        <w:autoSpaceDE w:val="0"/>
        <w:autoSpaceDN w:val="0"/>
        <w:adjustRightInd w:val="0"/>
        <w:snapToGrid w:val="0"/>
        <w:spacing w:line="109" w:lineRule="exact"/>
        <w:jc w:val="left"/>
        <w:textAlignment w:val="baseline"/>
        <w:rPr>
          <w:rFonts w:ascii="Arial" w:hAnsi="Arial" w:eastAsia="Arial" w:cs="Arial"/>
          <w:snapToGrid w:val="0"/>
          <w:color w:val="000000"/>
          <w:kern w:val="0"/>
          <w:szCs w:val="21"/>
          <w:lang w:eastAsia="en-US"/>
        </w:rPr>
      </w:pPr>
    </w:p>
    <w:tbl>
      <w:tblPr>
        <w:tblStyle w:val="4"/>
        <w:tblW w:w="958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580"/>
      </w:tblGrid>
      <w:tr w14:paraId="7DE362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2" w:hRule="atLeast"/>
        </w:trPr>
        <w:tc>
          <w:tcPr>
            <w:tcW w:w="9580" w:type="dxa"/>
            <w:vAlign w:val="top"/>
          </w:tcPr>
          <w:p w14:paraId="7FE6B8B1">
            <w:pPr>
              <w:kinsoku w:val="0"/>
              <w:autoSpaceDE w:val="0"/>
              <w:autoSpaceDN w:val="0"/>
              <w:adjustRightInd w:val="0"/>
              <w:snapToGrid w:val="0"/>
              <w:spacing w:before="150" w:line="221" w:lineRule="auto"/>
              <w:ind w:left="412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rPr>
              <w:t>其</w:t>
            </w:r>
            <w:r>
              <w:rPr>
                <w:rFonts w:ascii="宋体" w:hAnsi="宋体" w:eastAsia="宋体" w:cs="宋体"/>
                <w:snapToGrid w:val="0"/>
                <w:color w:val="000000"/>
                <w:spacing w:val="10"/>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他</w:t>
            </w:r>
            <w:r>
              <w:rPr>
                <w:rFonts w:ascii="宋体" w:hAnsi="宋体" w:eastAsia="宋体" w:cs="宋体"/>
                <w:snapToGrid w:val="0"/>
                <w:color w:val="000000"/>
                <w:spacing w:val="10"/>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要</w:t>
            </w:r>
            <w:r>
              <w:rPr>
                <w:rFonts w:ascii="宋体" w:hAnsi="宋体" w:eastAsia="宋体" w:cs="宋体"/>
                <w:snapToGrid w:val="0"/>
                <w:color w:val="000000"/>
                <w:spacing w:val="11"/>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求</w:t>
            </w:r>
          </w:p>
        </w:tc>
      </w:tr>
      <w:tr w14:paraId="34F69A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9580" w:type="dxa"/>
            <w:vAlign w:val="top"/>
          </w:tcPr>
          <w:p w14:paraId="0D8E8672">
            <w:pPr>
              <w:kinsoku w:val="0"/>
              <w:autoSpaceDE w:val="0"/>
              <w:autoSpaceDN w:val="0"/>
              <w:adjustRightInd w:val="0"/>
              <w:snapToGrid w:val="0"/>
              <w:spacing w:before="29" w:line="220" w:lineRule="auto"/>
              <w:ind w:left="43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1、具有不少于</w:t>
            </w:r>
            <w:r>
              <w:rPr>
                <w:rFonts w:ascii="宋体" w:hAnsi="宋体" w:eastAsia="宋体" w:cs="宋体"/>
                <w:snapToGrid w:val="0"/>
                <w:color w:val="000000"/>
                <w:spacing w:val="-12"/>
                <w:kern w:val="0"/>
                <w:sz w:val="21"/>
                <w:szCs w:val="21"/>
                <w:lang w:val="en-US" w:eastAsia="en-US" w:bidi="ar-SA"/>
              </w:rPr>
              <w:t xml:space="preserve"> </w:t>
            </w:r>
            <w:r>
              <w:rPr>
                <w:rFonts w:hint="eastAsia" w:ascii="宋体" w:hAnsi="宋体" w:eastAsia="宋体" w:cs="宋体"/>
                <w:snapToGrid w:val="0"/>
                <w:color w:val="000000"/>
                <w:spacing w:val="-6"/>
                <w:kern w:val="0"/>
                <w:sz w:val="21"/>
                <w:szCs w:val="21"/>
                <w:u w:val="single" w:color="auto"/>
                <w:lang w:val="en-US" w:eastAsia="zh-CN" w:bidi="ar-SA"/>
              </w:rPr>
              <w:t>1</w:t>
            </w:r>
            <w:r>
              <w:rPr>
                <w:rFonts w:ascii="宋体" w:hAnsi="宋体" w:eastAsia="宋体" w:cs="宋体"/>
                <w:snapToGrid w:val="0"/>
                <w:color w:val="000000"/>
                <w:spacing w:val="-6"/>
                <w:kern w:val="0"/>
                <w:sz w:val="21"/>
                <w:szCs w:val="21"/>
                <w:lang w:val="en-US" w:eastAsia="en-US" w:bidi="ar-SA"/>
              </w:rPr>
              <w:t>台的冷藏（冷冻）车辆；</w:t>
            </w:r>
          </w:p>
        </w:tc>
      </w:tr>
    </w:tbl>
    <w:p w14:paraId="223CAA5B">
      <w:pPr>
        <w:widowControl/>
        <w:kinsoku w:val="0"/>
        <w:autoSpaceDE w:val="0"/>
        <w:autoSpaceDN w:val="0"/>
        <w:adjustRightInd w:val="0"/>
        <w:snapToGrid w:val="0"/>
        <w:spacing w:before="34" w:line="299" w:lineRule="auto"/>
        <w:ind w:left="278" w:right="269"/>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lang w:eastAsia="en-US"/>
        </w:rPr>
        <w:t>注：1、</w:t>
      </w:r>
      <w:r>
        <w:rPr>
          <w:rFonts w:hint="eastAsia" w:ascii="宋体" w:hAnsi="宋体" w:eastAsia="宋体" w:cs="宋体"/>
          <w:snapToGrid w:val="0"/>
          <w:color w:val="000000"/>
          <w:kern w:val="0"/>
          <w:sz w:val="21"/>
          <w:szCs w:val="21"/>
          <w:lang w:eastAsia="en-US"/>
        </w:rPr>
        <w:t>需提供自有车辆的有效《机动车行驶证》扫描件（行驶证所有人为该公司/法定代表人/被授权人）并加盖公章，或提供有效期内的冷藏（冷冻）车辆租赁合同扫描件并加盖公章（合同至少包括合同首页、合同内容页、租赁车辆具体情况、签字盖章页）和年检有效期内的《机动车行驶证》扫描件并加盖公章；车辆图片（图片为上牌的车辆整体图片）。</w:t>
      </w:r>
      <w:r>
        <w:rPr>
          <w:rFonts w:ascii="宋体" w:hAnsi="宋体" w:eastAsia="宋体" w:cs="宋体"/>
          <w:snapToGrid w:val="0"/>
          <w:color w:val="000000"/>
          <w:kern w:val="0"/>
          <w:sz w:val="21"/>
          <w:szCs w:val="21"/>
          <w:lang w:eastAsia="en-US"/>
        </w:rPr>
        <w:t>自有或租赁车辆</w:t>
      </w:r>
      <w:r>
        <w:rPr>
          <w:rFonts w:ascii="宋体" w:hAnsi="宋体" w:eastAsia="宋体" w:cs="宋体"/>
          <w:snapToGrid w:val="0"/>
          <w:color w:val="000000"/>
          <w:spacing w:val="-1"/>
          <w:kern w:val="0"/>
          <w:sz w:val="21"/>
          <w:szCs w:val="21"/>
          <w:lang w:eastAsia="en-US"/>
        </w:rPr>
        <w:t>提供的相关材料的落款</w:t>
      </w:r>
      <w:r>
        <w:rPr>
          <w:rFonts w:ascii="宋体" w:hAnsi="宋体" w:eastAsia="宋体" w:cs="宋体"/>
          <w:snapToGrid w:val="0"/>
          <w:color w:val="000000"/>
          <w:kern w:val="0"/>
          <w:sz w:val="21"/>
          <w:szCs w:val="21"/>
          <w:lang w:eastAsia="en-US"/>
        </w:rPr>
        <w:t>时间必须是本项目</w:t>
      </w:r>
      <w:r>
        <w:rPr>
          <w:rFonts w:hint="eastAsia" w:ascii="宋体" w:hAnsi="宋体" w:eastAsia="宋体" w:cs="宋体"/>
          <w:snapToGrid w:val="0"/>
          <w:color w:val="000000"/>
          <w:kern w:val="0"/>
          <w:sz w:val="21"/>
          <w:szCs w:val="21"/>
          <w:lang w:val="en-US" w:eastAsia="zh-CN"/>
        </w:rPr>
        <w:t>报名</w:t>
      </w:r>
      <w:r>
        <w:rPr>
          <w:rFonts w:ascii="宋体" w:hAnsi="宋体" w:eastAsia="宋体" w:cs="宋体"/>
          <w:snapToGrid w:val="0"/>
          <w:color w:val="000000"/>
          <w:kern w:val="0"/>
          <w:sz w:val="21"/>
          <w:szCs w:val="21"/>
          <w:lang w:eastAsia="en-US"/>
        </w:rPr>
        <w:t>截止日之前；且必须承诺如在本项目服务期内租赁车</w:t>
      </w:r>
      <w:r>
        <w:rPr>
          <w:rFonts w:ascii="宋体" w:hAnsi="宋体" w:eastAsia="宋体" w:cs="宋体"/>
          <w:snapToGrid w:val="0"/>
          <w:color w:val="000000"/>
          <w:spacing w:val="-1"/>
          <w:kern w:val="0"/>
          <w:sz w:val="21"/>
          <w:szCs w:val="21"/>
          <w:lang w:eastAsia="en-US"/>
        </w:rPr>
        <w:t>辆租期到期后继续续租相关车辆或重新租赁符合要求的冷藏（冷冻）车辆</w:t>
      </w:r>
      <w:r>
        <w:rPr>
          <w:rFonts w:ascii="宋体" w:hAnsi="宋体" w:eastAsia="宋体" w:cs="宋体"/>
          <w:snapToGrid w:val="0"/>
          <w:color w:val="000000"/>
          <w:spacing w:val="-2"/>
          <w:kern w:val="0"/>
          <w:sz w:val="21"/>
          <w:szCs w:val="21"/>
          <w:lang w:eastAsia="en-US"/>
        </w:rPr>
        <w:t>（提供承诺函）。</w:t>
      </w:r>
    </w:p>
    <w:p w14:paraId="22461215">
      <w:pPr>
        <w:widowControl/>
        <w:kinsoku w:val="0"/>
        <w:autoSpaceDE w:val="0"/>
        <w:autoSpaceDN w:val="0"/>
        <w:adjustRightInd w:val="0"/>
        <w:snapToGrid w:val="0"/>
        <w:spacing w:before="2" w:line="300" w:lineRule="auto"/>
        <w:ind w:left="278" w:right="280" w:firstLine="412" w:firstLineChars="200"/>
        <w:jc w:val="both"/>
        <w:textAlignment w:val="baseline"/>
        <w:rPr>
          <w:rFonts w:ascii="宋体" w:hAnsi="宋体" w:eastAsia="宋体" w:cs="宋体"/>
          <w:sz w:val="21"/>
          <w:szCs w:val="21"/>
        </w:rPr>
        <w:sectPr>
          <w:footerReference r:id="rId3" w:type="default"/>
          <w:pgSz w:w="11906" w:h="16839"/>
          <w:pgMar w:top="1425" w:right="1147" w:bottom="1179" w:left="1148" w:header="0" w:footer="991" w:gutter="0"/>
          <w:pgBorders>
            <w:top w:val="none" w:sz="0" w:space="0"/>
            <w:left w:val="none" w:sz="0" w:space="0"/>
            <w:bottom w:val="none" w:sz="0" w:space="0"/>
            <w:right w:val="none" w:sz="0" w:space="0"/>
          </w:pgBorders>
          <w:pgNumType w:fmt="decimal"/>
          <w:cols w:space="720" w:num="1"/>
        </w:sectPr>
      </w:pPr>
      <w:r>
        <w:rPr>
          <w:rFonts w:ascii="宋体" w:hAnsi="宋体" w:eastAsia="宋体" w:cs="宋体"/>
          <w:snapToGrid w:val="0"/>
          <w:color w:val="000000"/>
          <w:spacing w:val="-2"/>
          <w:kern w:val="0"/>
          <w:sz w:val="21"/>
          <w:szCs w:val="21"/>
          <w:lang w:eastAsia="en-US"/>
        </w:rPr>
        <w:t>2、</w:t>
      </w:r>
      <w:r>
        <w:rPr>
          <w:rFonts w:hint="eastAsia" w:ascii="宋体" w:hAnsi="宋体" w:eastAsia="宋体" w:cs="宋体"/>
          <w:snapToGrid w:val="0"/>
          <w:color w:val="000000"/>
          <w:spacing w:val="-2"/>
          <w:kern w:val="0"/>
          <w:sz w:val="21"/>
          <w:szCs w:val="21"/>
          <w:lang w:eastAsia="en-US"/>
        </w:rPr>
        <w:t>需提供购买食品安全责任保险单保单扫描件，投保日期在本项目报名截止日之前；且必须承诺如在本项目服务期内食品安全责任险到期后继续购买针对本项目食材的食品安全责任保险，提供承诺函</w:t>
      </w:r>
    </w:p>
    <w:p w14:paraId="73B0E5E0">
      <w:pPr>
        <w:jc w:val="center"/>
        <w:rPr>
          <w:rFonts w:hint="eastAsia" w:ascii="宋体" w:hAnsi="宋体" w:eastAsia="宋体" w:cs="Times New Roman"/>
          <w:b/>
          <w:bCs/>
          <w:color w:val="000000"/>
          <w:kern w:val="44"/>
          <w:sz w:val="36"/>
          <w:szCs w:val="44"/>
          <w:highlight w:val="none"/>
          <w:lang w:val="en-US" w:eastAsia="zh-CN" w:bidi="ar-SA"/>
        </w:rPr>
      </w:pPr>
      <w:r>
        <w:rPr>
          <w:rFonts w:hint="eastAsia" w:ascii="宋体" w:hAnsi="宋体" w:eastAsia="宋体" w:cs="Times New Roman"/>
          <w:b/>
          <w:bCs/>
          <w:color w:val="000000"/>
          <w:kern w:val="44"/>
          <w:sz w:val="36"/>
          <w:szCs w:val="44"/>
          <w:highlight w:val="none"/>
          <w:lang w:val="en-US" w:eastAsia="zh-CN" w:bidi="ar-SA"/>
        </w:rPr>
        <w:t>第二章 评审方法（综合评分）</w:t>
      </w:r>
    </w:p>
    <w:tbl>
      <w:tblPr>
        <w:tblStyle w:val="2"/>
        <w:tblpPr w:leftFromText="180" w:rightFromText="180" w:vertAnchor="text" w:horzAnchor="page" w:tblpX="1723" w:tblpY="745"/>
        <w:tblOverlap w:val="never"/>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06"/>
        <w:gridCol w:w="6293"/>
      </w:tblGrid>
      <w:tr w14:paraId="4210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2306" w:type="dxa"/>
            <w:vAlign w:val="center"/>
          </w:tcPr>
          <w:p w14:paraId="7E3281A3">
            <w:pPr>
              <w:widowControl/>
              <w:ind w:firstLine="105" w:firstLineChars="50"/>
              <w:jc w:val="center"/>
              <w:rPr>
                <w:rFonts w:ascii="Times New Roman" w:hAnsi="Times New Roman" w:eastAsia="宋体" w:cs="Times New Roman"/>
                <w:color w:val="auto"/>
                <w:kern w:val="0"/>
                <w:szCs w:val="21"/>
              </w:rPr>
            </w:pPr>
            <w:r>
              <w:rPr>
                <w:rFonts w:ascii="Times New Roman" w:hAnsi="Times New Roman" w:eastAsia="宋体" w:cs="Times New Roman"/>
                <w:b/>
                <w:bCs/>
                <w:color w:val="auto"/>
                <w:kern w:val="0"/>
                <w:szCs w:val="21"/>
              </w:rPr>
              <w:t>评审因素</w:t>
            </w:r>
          </w:p>
        </w:tc>
        <w:tc>
          <w:tcPr>
            <w:tcW w:w="6293" w:type="dxa"/>
            <w:vAlign w:val="center"/>
          </w:tcPr>
          <w:p w14:paraId="3515769B">
            <w:pPr>
              <w:widowControl/>
              <w:ind w:firstLine="105" w:firstLineChars="50"/>
              <w:jc w:val="center"/>
              <w:rPr>
                <w:rFonts w:ascii="Times New Roman" w:hAnsi="Times New Roman" w:eastAsia="宋体" w:cs="Times New Roman"/>
                <w:color w:val="auto"/>
                <w:kern w:val="0"/>
                <w:szCs w:val="21"/>
              </w:rPr>
            </w:pPr>
            <w:r>
              <w:rPr>
                <w:rFonts w:ascii="Times New Roman" w:hAnsi="Times New Roman" w:eastAsia="宋体" w:cs="Times New Roman"/>
                <w:b/>
                <w:bCs/>
                <w:color w:val="auto"/>
                <w:kern w:val="0"/>
                <w:szCs w:val="21"/>
              </w:rPr>
              <w:t>评审标准</w:t>
            </w:r>
          </w:p>
        </w:tc>
      </w:tr>
      <w:tr w14:paraId="0742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3" w:hRule="atLeast"/>
        </w:trPr>
        <w:tc>
          <w:tcPr>
            <w:tcW w:w="2306" w:type="dxa"/>
            <w:tcMar>
              <w:left w:w="75" w:type="dxa"/>
            </w:tcMar>
            <w:vAlign w:val="center"/>
          </w:tcPr>
          <w:p w14:paraId="04587107">
            <w:pPr>
              <w:widowControl/>
              <w:adjustRightInd w:val="0"/>
              <w:snapToGrid w:val="0"/>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合格供应商</w:t>
            </w:r>
          </w:p>
          <w:p w14:paraId="2EC9FEA1">
            <w:pPr>
              <w:widowControl/>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排序方法</w:t>
            </w:r>
          </w:p>
        </w:tc>
        <w:tc>
          <w:tcPr>
            <w:tcW w:w="6293" w:type="dxa"/>
            <w:tcMar>
              <w:left w:w="75" w:type="dxa"/>
            </w:tcMar>
            <w:vAlign w:val="center"/>
          </w:tcPr>
          <w:p w14:paraId="3CAD2EBE">
            <w:pPr>
              <w:widowControl/>
              <w:adjustRightInd w:val="0"/>
              <w:snapToGrid w:val="0"/>
              <w:jc w:val="left"/>
              <w:rPr>
                <w:rFonts w:hint="eastAsia" w:ascii="Times New Roman" w:hAnsi="Times New Roman" w:eastAsia="宋体" w:cs="Times New Roman"/>
                <w:color w:val="auto"/>
              </w:rPr>
            </w:pPr>
            <w:r>
              <w:rPr>
                <w:rFonts w:hint="eastAsia" w:ascii="Times New Roman" w:hAnsi="Times New Roman" w:eastAsia="宋体" w:cs="Times New Roman"/>
                <w:color w:val="auto"/>
              </w:rPr>
              <w:t>评</w:t>
            </w:r>
            <w:r>
              <w:rPr>
                <w:rFonts w:hint="eastAsia" w:ascii="Times New Roman" w:hAnsi="Times New Roman" w:eastAsia="宋体" w:cs="Times New Roman"/>
                <w:color w:val="auto"/>
                <w:lang w:val="en-US" w:eastAsia="zh-CN"/>
              </w:rPr>
              <w:t>审</w:t>
            </w:r>
            <w:r>
              <w:rPr>
                <w:rFonts w:hint="eastAsia" w:ascii="Times New Roman" w:hAnsi="Times New Roman" w:eastAsia="宋体" w:cs="Times New Roman"/>
                <w:color w:val="auto"/>
              </w:rPr>
              <w:t>委员会按综合得分由高到低顺序推荐</w:t>
            </w:r>
            <w:r>
              <w:rPr>
                <w:rFonts w:hint="eastAsia" w:ascii="Times New Roman" w:hAnsi="Times New Roman" w:eastAsia="宋体" w:cs="Times New Roman"/>
                <w:color w:val="auto"/>
                <w:lang w:val="en-US" w:eastAsia="zh-CN"/>
              </w:rPr>
              <w:t>合格供应商</w:t>
            </w:r>
            <w:r>
              <w:rPr>
                <w:rFonts w:hint="eastAsia" w:ascii="Times New Roman" w:hAnsi="Times New Roman" w:eastAsia="宋体" w:cs="Times New Roman"/>
                <w:color w:val="auto"/>
              </w:rPr>
              <w:t>，得分相等时，评</w:t>
            </w:r>
            <w:r>
              <w:rPr>
                <w:rFonts w:hint="eastAsia" w:ascii="Times New Roman" w:hAnsi="Times New Roman" w:eastAsia="宋体" w:cs="Times New Roman"/>
                <w:color w:val="auto"/>
                <w:lang w:val="en-US" w:eastAsia="zh-CN"/>
              </w:rPr>
              <w:t>审</w:t>
            </w:r>
            <w:r>
              <w:rPr>
                <w:rFonts w:hint="eastAsia" w:ascii="Times New Roman" w:hAnsi="Times New Roman" w:eastAsia="宋体" w:cs="Times New Roman"/>
                <w:color w:val="auto"/>
              </w:rPr>
              <w:t>委员会依次按照以下优先顺序推荐</w:t>
            </w:r>
            <w:r>
              <w:rPr>
                <w:rFonts w:hint="eastAsia" w:ascii="Times New Roman" w:hAnsi="Times New Roman" w:eastAsia="宋体" w:cs="Times New Roman"/>
                <w:color w:val="auto"/>
                <w:lang w:val="en-US" w:eastAsia="zh-CN"/>
              </w:rPr>
              <w:t>合格供应商</w:t>
            </w:r>
            <w:r>
              <w:rPr>
                <w:rFonts w:hint="eastAsia" w:ascii="Times New Roman" w:hAnsi="Times New Roman" w:eastAsia="宋体" w:cs="Times New Roman"/>
                <w:color w:val="auto"/>
              </w:rPr>
              <w:t>：</w:t>
            </w:r>
          </w:p>
          <w:p w14:paraId="60AAA8D3">
            <w:pPr>
              <w:widowControl/>
              <w:adjustRightInd w:val="0"/>
              <w:snapToGrid w:val="0"/>
              <w:jc w:val="left"/>
              <w:rPr>
                <w:rFonts w:hint="eastAsia" w:ascii="Times New Roman" w:hAnsi="Times New Roman" w:eastAsia="宋体" w:cs="Times New Roman"/>
                <w:color w:val="auto"/>
              </w:rPr>
            </w:pPr>
            <w:r>
              <w:rPr>
                <w:rFonts w:hint="eastAsia" w:ascii="Times New Roman" w:hAnsi="Times New Roman" w:eastAsia="宋体" w:cs="Times New Roman"/>
                <w:color w:val="auto"/>
              </w:rPr>
              <w:t>（1）报价低的</w:t>
            </w:r>
            <w:r>
              <w:rPr>
                <w:rFonts w:hint="eastAsia" w:ascii="Times New Roman" w:hAnsi="Times New Roman" w:eastAsia="宋体" w:cs="Times New Roman"/>
                <w:color w:val="auto"/>
                <w:lang w:val="en-US" w:eastAsia="zh-CN"/>
              </w:rPr>
              <w:t>供应商</w:t>
            </w:r>
            <w:r>
              <w:rPr>
                <w:rFonts w:hint="eastAsia" w:ascii="Times New Roman" w:hAnsi="Times New Roman" w:eastAsia="宋体" w:cs="Times New Roman"/>
                <w:color w:val="auto"/>
              </w:rPr>
              <w:t>优先；</w:t>
            </w:r>
          </w:p>
          <w:p w14:paraId="46D3FF4F">
            <w:pPr>
              <w:widowControl/>
              <w:adjustRightInd w:val="0"/>
              <w:snapToGrid w:val="0"/>
              <w:jc w:val="left"/>
              <w:rPr>
                <w:rFonts w:ascii="Times New Roman" w:hAnsi="Times New Roman" w:eastAsia="宋体" w:cs="Times New Roman"/>
                <w:color w:val="auto"/>
              </w:rPr>
            </w:pPr>
            <w:r>
              <w:rPr>
                <w:rFonts w:hint="eastAsia" w:ascii="Times New Roman" w:hAnsi="Times New Roman" w:eastAsia="宋体" w:cs="Times New Roman"/>
                <w:color w:val="auto"/>
              </w:rPr>
              <w:t>（2）递交</w:t>
            </w:r>
            <w:r>
              <w:rPr>
                <w:rFonts w:hint="eastAsia" w:ascii="Times New Roman" w:hAnsi="Times New Roman" w:eastAsia="宋体" w:cs="Times New Roman"/>
                <w:color w:val="auto"/>
                <w:lang w:val="en-US" w:eastAsia="zh-CN"/>
              </w:rPr>
              <w:t>报名</w:t>
            </w:r>
            <w:r>
              <w:rPr>
                <w:rFonts w:hint="eastAsia" w:ascii="Times New Roman" w:hAnsi="Times New Roman" w:eastAsia="宋体" w:cs="Times New Roman"/>
                <w:color w:val="auto"/>
              </w:rPr>
              <w:t>文件时间早的</w:t>
            </w:r>
            <w:r>
              <w:rPr>
                <w:rFonts w:hint="eastAsia" w:ascii="Times New Roman" w:hAnsi="Times New Roman" w:eastAsia="宋体" w:cs="Times New Roman"/>
                <w:color w:val="auto"/>
                <w:lang w:val="en-US" w:eastAsia="zh-CN"/>
              </w:rPr>
              <w:t>供应商</w:t>
            </w:r>
            <w:r>
              <w:rPr>
                <w:rFonts w:hint="eastAsia" w:ascii="Times New Roman" w:hAnsi="Times New Roman" w:eastAsia="宋体" w:cs="Times New Roman"/>
                <w:color w:val="auto"/>
              </w:rPr>
              <w:t>优先。</w:t>
            </w:r>
          </w:p>
        </w:tc>
      </w:tr>
      <w:tr w14:paraId="3E9E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2306" w:type="dxa"/>
            <w:tcMar>
              <w:left w:w="75" w:type="dxa"/>
            </w:tcMar>
            <w:vAlign w:val="center"/>
          </w:tcPr>
          <w:p w14:paraId="214D5B25">
            <w:pPr>
              <w:widowControl/>
              <w:adjustRightInd w:val="0"/>
              <w:snapToGrid w:val="0"/>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合格</w:t>
            </w:r>
            <w:r>
              <w:rPr>
                <w:rFonts w:hint="eastAsia" w:ascii="宋体" w:hAnsi="宋体" w:eastAsia="宋体" w:cs="宋体"/>
                <w:bCs/>
                <w:color w:val="000000"/>
                <w:kern w:val="0"/>
                <w:sz w:val="21"/>
                <w:szCs w:val="21"/>
                <w:highlight w:val="none"/>
                <w:lang w:eastAsia="zh-CN"/>
              </w:rPr>
              <w:t>供应商数量</w:t>
            </w:r>
          </w:p>
        </w:tc>
        <w:tc>
          <w:tcPr>
            <w:tcW w:w="6293" w:type="dxa"/>
            <w:tcMar>
              <w:left w:w="75" w:type="dxa"/>
            </w:tcMar>
            <w:vAlign w:val="center"/>
          </w:tcPr>
          <w:p w14:paraId="3D8DD7A2">
            <w:pPr>
              <w:widowControl/>
              <w:adjustRightInd w:val="0"/>
              <w:snapToGrid w:val="0"/>
              <w:spacing w:line="360" w:lineRule="auto"/>
              <w:jc w:val="center"/>
              <w:rPr>
                <w:rFonts w:hint="eastAsia" w:ascii="宋体" w:hAnsi="宋体" w:eastAsia="宋体" w:cs="宋体"/>
                <w:color w:val="000000"/>
                <w:kern w:val="0"/>
                <w:sz w:val="21"/>
                <w:szCs w:val="21"/>
                <w:highlight w:val="none"/>
                <w:lang w:val="en-US" w:eastAsia="zh-CN"/>
              </w:rPr>
            </w:pPr>
            <w:r>
              <w:rPr>
                <w:rFonts w:hint="eastAsia" w:ascii="Times New Roman" w:hAnsi="Times New Roman" w:eastAsia="宋体" w:cs="Times New Roman"/>
                <w:color w:val="auto"/>
                <w:u w:val="none"/>
                <w:lang w:val="en-US" w:eastAsia="zh-CN"/>
              </w:rPr>
              <w:t>1名</w:t>
            </w:r>
          </w:p>
        </w:tc>
      </w:tr>
    </w:tbl>
    <w:p w14:paraId="526A681F">
      <w:pPr>
        <w:keepNext/>
        <w:keepLines/>
        <w:widowControl w:val="0"/>
        <w:numPr>
          <w:ilvl w:val="0"/>
          <w:numId w:val="0"/>
        </w:numPr>
        <w:tabs>
          <w:tab w:val="left" w:pos="0"/>
        </w:tabs>
        <w:spacing w:before="312" w:beforeLines="100" w:after="312" w:afterLines="100" w:line="360" w:lineRule="auto"/>
        <w:jc w:val="both"/>
        <w:outlineLvl w:val="0"/>
        <w:rPr>
          <w:rFonts w:ascii="Times New Roman" w:hAnsi="Times New Roman" w:eastAsia="黑体" w:cs="Times New Roman"/>
          <w:b/>
          <w:bCs/>
          <w:color w:val="auto"/>
          <w:kern w:val="44"/>
          <w:sz w:val="28"/>
          <w:szCs w:val="28"/>
          <w:lang w:val="en-US" w:eastAsia="zh-CN" w:bidi="ar-SA"/>
        </w:rPr>
      </w:pPr>
    </w:p>
    <w:tbl>
      <w:tblPr>
        <w:tblStyle w:val="2"/>
        <w:tblpPr w:leftFromText="180" w:rightFromText="180" w:vertAnchor="text" w:horzAnchor="page" w:tblpX="1764" w:tblpY="219"/>
        <w:tblOverlap w:val="never"/>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92"/>
        <w:gridCol w:w="6107"/>
      </w:tblGrid>
      <w:tr w14:paraId="0604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2292" w:type="dxa"/>
            <w:vAlign w:val="center"/>
          </w:tcPr>
          <w:p w14:paraId="0409B6F6">
            <w:pPr>
              <w:widowControl/>
              <w:spacing w:line="360" w:lineRule="atLeast"/>
              <w:jc w:val="center"/>
              <w:rPr>
                <w:rFonts w:ascii="Times New Roman" w:hAnsi="Times New Roman" w:eastAsia="宋体" w:cs="Times New Roman"/>
                <w:color w:val="auto"/>
                <w:kern w:val="0"/>
                <w:szCs w:val="21"/>
              </w:rPr>
            </w:pPr>
            <w:r>
              <w:rPr>
                <w:rFonts w:ascii="Times New Roman" w:hAnsi="Times New Roman" w:eastAsia="宋体" w:cs="Times New Roman"/>
                <w:b/>
                <w:bCs/>
                <w:color w:val="auto"/>
                <w:kern w:val="0"/>
                <w:szCs w:val="21"/>
              </w:rPr>
              <w:t>评审因素</w:t>
            </w:r>
          </w:p>
        </w:tc>
        <w:tc>
          <w:tcPr>
            <w:tcW w:w="6107" w:type="dxa"/>
            <w:vAlign w:val="center"/>
          </w:tcPr>
          <w:p w14:paraId="7BC9127E">
            <w:pPr>
              <w:widowControl/>
              <w:spacing w:line="360" w:lineRule="atLeast"/>
              <w:jc w:val="center"/>
              <w:rPr>
                <w:rFonts w:ascii="Times New Roman" w:hAnsi="Times New Roman" w:eastAsia="宋体" w:cs="Times New Roman"/>
                <w:color w:val="auto"/>
                <w:kern w:val="0"/>
                <w:szCs w:val="21"/>
              </w:rPr>
            </w:pPr>
            <w:r>
              <w:rPr>
                <w:rFonts w:ascii="Times New Roman" w:hAnsi="Times New Roman" w:eastAsia="宋体" w:cs="Times New Roman"/>
                <w:b/>
                <w:bCs/>
                <w:color w:val="auto"/>
                <w:kern w:val="0"/>
                <w:szCs w:val="21"/>
              </w:rPr>
              <w:t>评审标准</w:t>
            </w:r>
          </w:p>
        </w:tc>
      </w:tr>
      <w:tr w14:paraId="1955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trPr>
        <w:tc>
          <w:tcPr>
            <w:tcW w:w="2292" w:type="dxa"/>
            <w:tcMar>
              <w:left w:w="75" w:type="dxa"/>
            </w:tcMar>
            <w:vAlign w:val="center"/>
          </w:tcPr>
          <w:p w14:paraId="248461FF">
            <w:pPr>
              <w:widowControl/>
              <w:adjustRightInd w:val="0"/>
              <w:snapToGrid w:val="0"/>
              <w:spacing w:line="360" w:lineRule="atLeas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供应商名称</w:t>
            </w:r>
          </w:p>
        </w:tc>
        <w:tc>
          <w:tcPr>
            <w:tcW w:w="6107" w:type="dxa"/>
            <w:tcMar>
              <w:left w:w="75" w:type="dxa"/>
            </w:tcMar>
            <w:vAlign w:val="center"/>
          </w:tcPr>
          <w:p w14:paraId="788AED68">
            <w:pPr>
              <w:widowControl/>
              <w:adjustRightInd w:val="0"/>
              <w:snapToGrid w:val="0"/>
              <w:spacing w:line="360" w:lineRule="atLeas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与营业执照（事业单位法人证书，如有）、资质证书（如有）、一致</w:t>
            </w:r>
          </w:p>
        </w:tc>
      </w:tr>
      <w:tr w14:paraId="33D4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2292" w:type="dxa"/>
            <w:tcMar>
              <w:left w:w="75" w:type="dxa"/>
            </w:tcMar>
            <w:vAlign w:val="center"/>
          </w:tcPr>
          <w:p w14:paraId="6C26319A">
            <w:pPr>
              <w:widowControl/>
              <w:adjustRightInd w:val="0"/>
              <w:snapToGrid w:val="0"/>
              <w:spacing w:line="360" w:lineRule="atLeas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eastAsia="zh-CN"/>
              </w:rPr>
              <w:t>报名文件</w:t>
            </w:r>
            <w:r>
              <w:rPr>
                <w:rFonts w:ascii="Times New Roman" w:hAnsi="Times New Roman" w:eastAsia="宋体" w:cs="Times New Roman"/>
                <w:color w:val="auto"/>
                <w:kern w:val="0"/>
                <w:szCs w:val="21"/>
              </w:rPr>
              <w:t>格式</w:t>
            </w:r>
          </w:p>
        </w:tc>
        <w:tc>
          <w:tcPr>
            <w:tcW w:w="6107" w:type="dxa"/>
            <w:tcMar>
              <w:left w:w="75" w:type="dxa"/>
            </w:tcMar>
            <w:vAlign w:val="center"/>
          </w:tcPr>
          <w:p w14:paraId="1B99EEE4">
            <w:pPr>
              <w:widowControl/>
              <w:adjustRightInd w:val="0"/>
              <w:snapToGrid w:val="0"/>
              <w:spacing w:line="360" w:lineRule="atLeas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符合</w:t>
            </w:r>
            <w:r>
              <w:rPr>
                <w:rFonts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eastAsia="zh-CN"/>
              </w:rPr>
              <w:t>报名文件</w:t>
            </w:r>
            <w:r>
              <w:rPr>
                <w:rFonts w:ascii="Times New Roman" w:hAnsi="Times New Roman" w:eastAsia="宋体" w:cs="Times New Roman"/>
                <w:color w:val="auto"/>
                <w:kern w:val="0"/>
                <w:szCs w:val="21"/>
                <w:highlight w:val="none"/>
              </w:rPr>
              <w:t>格式”</w:t>
            </w:r>
            <w:r>
              <w:rPr>
                <w:rFonts w:ascii="Times New Roman" w:hAnsi="Times New Roman" w:eastAsia="宋体" w:cs="Times New Roman"/>
                <w:color w:val="auto"/>
                <w:kern w:val="0"/>
                <w:szCs w:val="21"/>
              </w:rPr>
              <w:t>的规定，关键字迹清晰可辨</w:t>
            </w:r>
          </w:p>
        </w:tc>
      </w:tr>
      <w:tr w14:paraId="591B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2292" w:type="dxa"/>
            <w:tcMar>
              <w:left w:w="75" w:type="dxa"/>
            </w:tcMar>
            <w:vAlign w:val="center"/>
          </w:tcPr>
          <w:p w14:paraId="776AE0C3">
            <w:pPr>
              <w:widowControl/>
              <w:adjustRightInd w:val="0"/>
              <w:snapToGrid w:val="0"/>
              <w:spacing w:line="360" w:lineRule="atLeas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签名盖章</w:t>
            </w:r>
          </w:p>
        </w:tc>
        <w:tc>
          <w:tcPr>
            <w:tcW w:w="6107" w:type="dxa"/>
            <w:tcMar>
              <w:left w:w="75" w:type="dxa"/>
            </w:tcMar>
            <w:vAlign w:val="center"/>
          </w:tcPr>
          <w:p w14:paraId="7A8072E2">
            <w:pPr>
              <w:widowControl/>
              <w:adjustRightInd w:val="0"/>
              <w:snapToGrid w:val="0"/>
              <w:spacing w:line="360" w:lineRule="atLeast"/>
              <w:jc w:val="left"/>
              <w:rPr>
                <w:rFonts w:hint="eastAsia" w:ascii="Times New Roman" w:hAnsi="Times New Roman" w:eastAsia="宋体" w:cs="Times New Roman"/>
                <w:color w:val="auto"/>
                <w:kern w:val="0"/>
                <w:szCs w:val="21"/>
                <w:highlight w:val="none"/>
                <w:lang w:val="en-US" w:eastAsia="zh-CN"/>
              </w:rPr>
            </w:pPr>
            <w:r>
              <w:rPr>
                <w:rFonts w:ascii="Times New Roman" w:hAnsi="Times New Roman" w:eastAsia="宋体" w:cs="Times New Roman"/>
                <w:bCs/>
                <w:color w:val="auto"/>
                <w:kern w:val="0"/>
                <w:szCs w:val="21"/>
              </w:rPr>
              <w:t>符合</w:t>
            </w:r>
            <w:r>
              <w:rPr>
                <w:rFonts w:ascii="Times New Roman" w:hAnsi="Times New Roman" w:eastAsia="宋体" w:cs="Times New Roman"/>
                <w:color w:val="auto"/>
              </w:rPr>
              <w:t>“</w:t>
            </w:r>
            <w:r>
              <w:rPr>
                <w:rFonts w:hint="eastAsia" w:ascii="Times New Roman" w:hAnsi="Times New Roman" w:eastAsia="宋体" w:cs="Times New Roman"/>
                <w:color w:val="auto"/>
                <w:szCs w:val="21"/>
                <w:lang w:val="en-US" w:eastAsia="zh-CN"/>
              </w:rPr>
              <w:t>招商</w:t>
            </w:r>
            <w:r>
              <w:rPr>
                <w:rFonts w:ascii="Times New Roman" w:hAnsi="Times New Roman" w:eastAsia="宋体" w:cs="Times New Roman"/>
                <w:color w:val="auto"/>
                <w:szCs w:val="21"/>
              </w:rPr>
              <w:t>公告</w:t>
            </w:r>
            <w:r>
              <w:rPr>
                <w:rFonts w:ascii="Times New Roman" w:hAnsi="Times New Roman" w:eastAsia="宋体" w:cs="Times New Roman"/>
                <w:color w:val="auto"/>
              </w:rPr>
              <w:t>”</w:t>
            </w:r>
            <w:r>
              <w:rPr>
                <w:rFonts w:ascii="Times New Roman" w:hAnsi="Times New Roman" w:eastAsia="宋体" w:cs="Times New Roman"/>
                <w:bCs/>
                <w:color w:val="auto"/>
                <w:kern w:val="0"/>
                <w:szCs w:val="21"/>
              </w:rPr>
              <w:t>规定</w:t>
            </w:r>
          </w:p>
        </w:tc>
      </w:tr>
      <w:tr w14:paraId="6ABF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trPr>
        <w:tc>
          <w:tcPr>
            <w:tcW w:w="2292" w:type="dxa"/>
            <w:tcMar>
              <w:left w:w="75" w:type="dxa"/>
            </w:tcMar>
            <w:vAlign w:val="center"/>
          </w:tcPr>
          <w:p w14:paraId="0CC35A92">
            <w:pPr>
              <w:widowControl/>
              <w:adjustRightInd w:val="0"/>
              <w:snapToGrid w:val="0"/>
              <w:spacing w:line="360" w:lineRule="atLeas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资质条件、能力、信誉、其他要求</w:t>
            </w:r>
          </w:p>
        </w:tc>
        <w:tc>
          <w:tcPr>
            <w:tcW w:w="6107" w:type="dxa"/>
            <w:tcMar>
              <w:left w:w="75" w:type="dxa"/>
            </w:tcMar>
            <w:vAlign w:val="center"/>
          </w:tcPr>
          <w:p w14:paraId="6E67DB92">
            <w:pPr>
              <w:adjustRightInd w:val="0"/>
              <w:snapToGrid w:val="0"/>
              <w:spacing w:line="360" w:lineRule="atLeast"/>
              <w:jc w:val="left"/>
              <w:rPr>
                <w:rFonts w:ascii="Times New Roman" w:hAnsi="Times New Roman" w:eastAsia="宋体" w:cs="Times New Roman"/>
                <w:color w:val="auto"/>
                <w:kern w:val="0"/>
                <w:szCs w:val="21"/>
                <w:highlight w:val="none"/>
              </w:rPr>
            </w:pPr>
            <w:r>
              <w:rPr>
                <w:rFonts w:ascii="Times New Roman" w:hAnsi="Times New Roman" w:eastAsia="宋体" w:cs="Times New Roman"/>
                <w:bCs/>
                <w:color w:val="auto"/>
                <w:kern w:val="0"/>
                <w:szCs w:val="21"/>
              </w:rPr>
              <w:t>符合</w:t>
            </w:r>
            <w:r>
              <w:rPr>
                <w:rFonts w:ascii="Times New Roman" w:hAnsi="Times New Roman" w:eastAsia="宋体" w:cs="Times New Roman"/>
                <w:color w:val="auto"/>
              </w:rPr>
              <w:t>“</w:t>
            </w:r>
            <w:r>
              <w:rPr>
                <w:rFonts w:hint="eastAsia" w:ascii="Times New Roman" w:hAnsi="Times New Roman" w:eastAsia="宋体" w:cs="Times New Roman"/>
                <w:color w:val="auto"/>
                <w:szCs w:val="21"/>
                <w:lang w:val="en-US" w:eastAsia="zh-CN"/>
              </w:rPr>
              <w:t>招商</w:t>
            </w:r>
            <w:r>
              <w:rPr>
                <w:rFonts w:ascii="Times New Roman" w:hAnsi="Times New Roman" w:eastAsia="宋体" w:cs="Times New Roman"/>
                <w:color w:val="auto"/>
                <w:szCs w:val="21"/>
              </w:rPr>
              <w:t>公告</w:t>
            </w:r>
            <w:r>
              <w:rPr>
                <w:rFonts w:ascii="Times New Roman" w:hAnsi="Times New Roman" w:eastAsia="宋体" w:cs="Times New Roman"/>
                <w:color w:val="auto"/>
              </w:rPr>
              <w:t>”</w:t>
            </w:r>
            <w:r>
              <w:rPr>
                <w:rFonts w:ascii="Times New Roman" w:hAnsi="Times New Roman" w:eastAsia="宋体" w:cs="Times New Roman"/>
                <w:bCs/>
                <w:color w:val="auto"/>
                <w:kern w:val="0"/>
                <w:szCs w:val="21"/>
              </w:rPr>
              <w:t>规定</w:t>
            </w:r>
          </w:p>
        </w:tc>
      </w:tr>
      <w:tr w14:paraId="0230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2292" w:type="dxa"/>
            <w:tcMar>
              <w:left w:w="75" w:type="dxa"/>
            </w:tcMar>
            <w:vAlign w:val="center"/>
          </w:tcPr>
          <w:p w14:paraId="75F9EE76">
            <w:pPr>
              <w:widowControl/>
              <w:adjustRightInd w:val="0"/>
              <w:snapToGrid w:val="0"/>
              <w:spacing w:line="360" w:lineRule="atLeas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质量要求</w:t>
            </w:r>
          </w:p>
        </w:tc>
        <w:tc>
          <w:tcPr>
            <w:tcW w:w="6107" w:type="dxa"/>
            <w:tcMar>
              <w:left w:w="75" w:type="dxa"/>
            </w:tcMar>
            <w:vAlign w:val="center"/>
          </w:tcPr>
          <w:p w14:paraId="6518F25B">
            <w:pPr>
              <w:widowControl/>
              <w:adjustRightInd w:val="0"/>
              <w:snapToGrid w:val="0"/>
              <w:spacing w:line="360" w:lineRule="atLeast"/>
              <w:jc w:val="left"/>
              <w:rPr>
                <w:rFonts w:hint="default" w:ascii="Times New Roman" w:hAnsi="Times New Roman" w:eastAsia="宋体" w:cs="Times New Roman"/>
                <w:color w:val="auto"/>
                <w:kern w:val="0"/>
                <w:szCs w:val="21"/>
                <w:highlight w:val="none"/>
                <w:lang w:val="en-US"/>
              </w:rPr>
            </w:pPr>
            <w:r>
              <w:rPr>
                <w:rFonts w:ascii="Times New Roman" w:hAnsi="Times New Roman" w:eastAsia="宋体" w:cs="Times New Roman"/>
                <w:bCs/>
                <w:color w:val="auto"/>
                <w:kern w:val="0"/>
                <w:szCs w:val="21"/>
              </w:rPr>
              <w:t>符合</w:t>
            </w:r>
            <w:r>
              <w:rPr>
                <w:rFonts w:ascii="Times New Roman" w:hAnsi="Times New Roman" w:eastAsia="宋体" w:cs="Times New Roman"/>
                <w:color w:val="auto"/>
              </w:rPr>
              <w:t>“</w:t>
            </w:r>
            <w:r>
              <w:rPr>
                <w:rFonts w:hint="eastAsia" w:ascii="Times New Roman" w:hAnsi="Times New Roman" w:eastAsia="宋体" w:cs="Times New Roman"/>
                <w:color w:val="auto"/>
                <w:szCs w:val="21"/>
                <w:lang w:val="en-US" w:eastAsia="zh-CN"/>
              </w:rPr>
              <w:t>招商</w:t>
            </w:r>
            <w:r>
              <w:rPr>
                <w:rFonts w:ascii="Times New Roman" w:hAnsi="Times New Roman" w:eastAsia="宋体" w:cs="Times New Roman"/>
                <w:color w:val="auto"/>
                <w:szCs w:val="21"/>
              </w:rPr>
              <w:t>公告</w:t>
            </w:r>
            <w:r>
              <w:rPr>
                <w:rFonts w:ascii="Times New Roman" w:hAnsi="Times New Roman" w:eastAsia="宋体" w:cs="Times New Roman"/>
                <w:color w:val="auto"/>
              </w:rPr>
              <w:t>”</w:t>
            </w:r>
            <w:r>
              <w:rPr>
                <w:rFonts w:ascii="Times New Roman" w:hAnsi="Times New Roman" w:eastAsia="宋体" w:cs="Times New Roman"/>
                <w:bCs/>
                <w:color w:val="auto"/>
                <w:kern w:val="0"/>
                <w:szCs w:val="21"/>
              </w:rPr>
              <w:t>规定</w:t>
            </w:r>
          </w:p>
        </w:tc>
      </w:tr>
      <w:tr w14:paraId="1645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2292" w:type="dxa"/>
            <w:tcMar>
              <w:left w:w="75" w:type="dxa"/>
            </w:tcMar>
            <w:vAlign w:val="center"/>
          </w:tcPr>
          <w:p w14:paraId="1D4876A5">
            <w:pPr>
              <w:widowControl/>
              <w:adjustRightInd w:val="0"/>
              <w:snapToGrid w:val="0"/>
              <w:spacing w:line="360" w:lineRule="atLeast"/>
              <w:jc w:val="left"/>
              <w:rPr>
                <w:rFonts w:ascii="Times New Roman" w:hAnsi="Times New Roman" w:eastAsia="宋体" w:cs="Times New Roman"/>
                <w:bCs/>
                <w:color w:val="auto"/>
                <w:kern w:val="0"/>
                <w:szCs w:val="21"/>
              </w:rPr>
            </w:pPr>
            <w:r>
              <w:rPr>
                <w:rFonts w:hint="eastAsia" w:ascii="Times New Roman" w:hAnsi="Times New Roman" w:eastAsia="宋体" w:cs="Times New Roman"/>
                <w:bCs/>
                <w:color w:val="auto"/>
                <w:kern w:val="0"/>
                <w:szCs w:val="21"/>
                <w:lang w:eastAsia="zh-CN"/>
              </w:rPr>
              <w:t>报名文件</w:t>
            </w:r>
            <w:r>
              <w:rPr>
                <w:rFonts w:ascii="Times New Roman" w:hAnsi="Times New Roman" w:eastAsia="宋体" w:cs="Times New Roman"/>
                <w:bCs/>
                <w:color w:val="auto"/>
                <w:kern w:val="0"/>
                <w:szCs w:val="21"/>
              </w:rPr>
              <w:t>的获取</w:t>
            </w:r>
          </w:p>
        </w:tc>
        <w:tc>
          <w:tcPr>
            <w:tcW w:w="6107" w:type="dxa"/>
            <w:tcMar>
              <w:left w:w="75" w:type="dxa"/>
            </w:tcMar>
            <w:vAlign w:val="center"/>
          </w:tcPr>
          <w:p w14:paraId="62A811FE">
            <w:pPr>
              <w:widowControl/>
              <w:adjustRightInd w:val="0"/>
              <w:snapToGrid w:val="0"/>
              <w:spacing w:line="360" w:lineRule="atLeast"/>
              <w:jc w:val="left"/>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符合</w:t>
            </w:r>
            <w:r>
              <w:rPr>
                <w:rFonts w:ascii="Times New Roman" w:hAnsi="Times New Roman" w:eastAsia="宋体" w:cs="Times New Roman"/>
                <w:color w:val="auto"/>
              </w:rPr>
              <w:t>“</w:t>
            </w:r>
            <w:r>
              <w:rPr>
                <w:rFonts w:hint="eastAsia" w:ascii="Times New Roman" w:hAnsi="Times New Roman" w:eastAsia="宋体" w:cs="Times New Roman"/>
                <w:color w:val="auto"/>
                <w:szCs w:val="21"/>
                <w:lang w:val="en-US" w:eastAsia="zh-CN"/>
              </w:rPr>
              <w:t>招商</w:t>
            </w:r>
            <w:r>
              <w:rPr>
                <w:rFonts w:ascii="Times New Roman" w:hAnsi="Times New Roman" w:eastAsia="宋体" w:cs="Times New Roman"/>
                <w:color w:val="auto"/>
                <w:szCs w:val="21"/>
              </w:rPr>
              <w:t>公告</w:t>
            </w:r>
            <w:r>
              <w:rPr>
                <w:rFonts w:ascii="Times New Roman" w:hAnsi="Times New Roman" w:eastAsia="宋体" w:cs="Times New Roman"/>
                <w:color w:val="auto"/>
              </w:rPr>
              <w:t>”</w:t>
            </w:r>
            <w:r>
              <w:rPr>
                <w:rFonts w:ascii="Times New Roman" w:hAnsi="Times New Roman" w:eastAsia="宋体" w:cs="Times New Roman"/>
                <w:bCs/>
                <w:color w:val="auto"/>
                <w:kern w:val="0"/>
                <w:szCs w:val="21"/>
              </w:rPr>
              <w:t>规定</w:t>
            </w:r>
          </w:p>
        </w:tc>
      </w:tr>
      <w:tr w14:paraId="3AEB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2292" w:type="dxa"/>
            <w:tcBorders>
              <w:top w:val="single" w:color="auto" w:sz="4" w:space="0"/>
              <w:left w:val="single" w:color="auto" w:sz="4" w:space="0"/>
              <w:right w:val="single" w:color="auto" w:sz="4" w:space="0"/>
            </w:tcBorders>
            <w:tcMar>
              <w:left w:w="75" w:type="dxa"/>
            </w:tcMar>
            <w:vAlign w:val="center"/>
          </w:tcPr>
          <w:p w14:paraId="4999A96A">
            <w:pPr>
              <w:widowControl/>
              <w:adjustRightInd w:val="0"/>
              <w:snapToGrid w:val="0"/>
              <w:spacing w:line="360" w:lineRule="atLeast"/>
              <w:jc w:val="left"/>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联合体</w:t>
            </w:r>
          </w:p>
        </w:tc>
        <w:tc>
          <w:tcPr>
            <w:tcW w:w="6107" w:type="dxa"/>
            <w:tcBorders>
              <w:top w:val="outset" w:color="auto" w:sz="6" w:space="0"/>
              <w:left w:val="single" w:color="auto" w:sz="4" w:space="0"/>
              <w:right w:val="outset" w:color="auto" w:sz="6" w:space="0"/>
            </w:tcBorders>
            <w:tcMar>
              <w:left w:w="75" w:type="dxa"/>
            </w:tcMar>
            <w:vAlign w:val="center"/>
          </w:tcPr>
          <w:p w14:paraId="2238D25C">
            <w:pPr>
              <w:widowControl/>
              <w:adjustRightInd w:val="0"/>
              <w:snapToGrid w:val="0"/>
              <w:spacing w:line="360" w:lineRule="atLeas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未以联合体形式报价</w:t>
            </w:r>
          </w:p>
        </w:tc>
      </w:tr>
      <w:tr w14:paraId="3863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2292" w:type="dxa"/>
            <w:tcBorders>
              <w:top w:val="single" w:color="auto" w:sz="4" w:space="0"/>
              <w:left w:val="single" w:color="auto" w:sz="4" w:space="0"/>
              <w:right w:val="single" w:color="auto" w:sz="4" w:space="0"/>
            </w:tcBorders>
            <w:tcMar>
              <w:left w:w="75" w:type="dxa"/>
            </w:tcMar>
            <w:vAlign w:val="center"/>
          </w:tcPr>
          <w:p w14:paraId="0877FCAD">
            <w:pPr>
              <w:widowControl/>
              <w:adjustRightInd w:val="0"/>
              <w:snapToGrid w:val="0"/>
              <w:spacing w:line="360" w:lineRule="atLeast"/>
              <w:jc w:val="left"/>
              <w:rPr>
                <w:rFonts w:ascii="Times New Roman" w:hAnsi="Times New Roman" w:eastAsia="宋体" w:cs="Times New Roman"/>
                <w:color w:val="auto"/>
                <w:kern w:val="0"/>
                <w:szCs w:val="21"/>
              </w:rPr>
            </w:pPr>
            <w:r>
              <w:rPr>
                <w:rFonts w:ascii="Times New Roman" w:hAnsi="Times New Roman" w:eastAsia="宋体" w:cs="Times New Roman"/>
                <w:bCs/>
                <w:color w:val="auto"/>
                <w:kern w:val="0"/>
                <w:szCs w:val="21"/>
              </w:rPr>
              <w:t>分包</w:t>
            </w:r>
          </w:p>
        </w:tc>
        <w:tc>
          <w:tcPr>
            <w:tcW w:w="6107" w:type="dxa"/>
            <w:tcBorders>
              <w:top w:val="outset" w:color="auto" w:sz="6" w:space="0"/>
              <w:left w:val="single" w:color="auto" w:sz="4" w:space="0"/>
              <w:right w:val="outset" w:color="auto" w:sz="6" w:space="0"/>
            </w:tcBorders>
            <w:tcMar>
              <w:left w:w="75" w:type="dxa"/>
            </w:tcMar>
            <w:vAlign w:val="center"/>
          </w:tcPr>
          <w:p w14:paraId="66E7B815">
            <w:pPr>
              <w:widowControl/>
              <w:adjustRightInd w:val="0"/>
              <w:snapToGrid w:val="0"/>
              <w:spacing w:line="360" w:lineRule="atLeas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没有分包</w:t>
            </w:r>
          </w:p>
        </w:tc>
      </w:tr>
      <w:tr w14:paraId="2EE7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trPr>
        <w:tc>
          <w:tcPr>
            <w:tcW w:w="2292" w:type="dxa"/>
            <w:shd w:val="clear" w:color="auto" w:fill="auto"/>
            <w:tcMar>
              <w:left w:w="75" w:type="dxa"/>
            </w:tcMar>
            <w:vAlign w:val="center"/>
          </w:tcPr>
          <w:p w14:paraId="6DD0F6C2">
            <w:pPr>
              <w:widowControl/>
              <w:adjustRightInd w:val="0"/>
              <w:snapToGrid w:val="0"/>
              <w:spacing w:line="360" w:lineRule="atLeast"/>
              <w:jc w:val="left"/>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Cs w:val="21"/>
              </w:rPr>
              <w:t>其他实质性要求</w:t>
            </w:r>
          </w:p>
        </w:tc>
        <w:tc>
          <w:tcPr>
            <w:tcW w:w="6107" w:type="dxa"/>
            <w:shd w:val="clear" w:color="auto" w:fill="auto"/>
            <w:tcMar>
              <w:left w:w="75" w:type="dxa"/>
            </w:tcMar>
            <w:vAlign w:val="center"/>
          </w:tcPr>
          <w:p w14:paraId="33FC7AF2">
            <w:pPr>
              <w:widowControl/>
              <w:adjustRightInd w:val="0"/>
              <w:snapToGrid w:val="0"/>
              <w:spacing w:line="360" w:lineRule="atLeast"/>
              <w:jc w:val="left"/>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Cs w:val="21"/>
              </w:rPr>
              <w:t>符合</w:t>
            </w:r>
            <w:r>
              <w:rPr>
                <w:rFonts w:hint="eastAsia" w:ascii="Times New Roman" w:hAnsi="Times New Roman" w:eastAsia="宋体" w:cs="Times New Roman"/>
                <w:color w:val="auto"/>
                <w:kern w:val="0"/>
                <w:szCs w:val="21"/>
                <w:lang w:eastAsia="zh-CN"/>
              </w:rPr>
              <w:t>“报名文件”</w:t>
            </w:r>
            <w:r>
              <w:rPr>
                <w:rFonts w:ascii="Times New Roman" w:hAnsi="Times New Roman" w:eastAsia="宋体" w:cs="Times New Roman"/>
                <w:color w:val="auto"/>
                <w:kern w:val="0"/>
                <w:szCs w:val="21"/>
              </w:rPr>
              <w:t>的其他实质性要求和条件</w:t>
            </w:r>
          </w:p>
        </w:tc>
      </w:tr>
    </w:tbl>
    <w:p w14:paraId="1A99F4A7">
      <w:pPr>
        <w:adjustRightInd w:val="0"/>
        <w:snapToGrid w:val="0"/>
        <w:spacing w:line="360" w:lineRule="auto"/>
        <w:textAlignment w:val="baseline"/>
        <w:rPr>
          <w:rFonts w:ascii="Times New Roman" w:hAnsi="Times New Roman" w:eastAsia="宋体" w:cs="Times New Roman"/>
          <w:color w:val="auto"/>
          <w:szCs w:val="21"/>
        </w:rPr>
      </w:pPr>
    </w:p>
    <w:p w14:paraId="5A2ACDB0">
      <w:pPr>
        <w:adjustRightInd w:val="0"/>
        <w:snapToGrid w:val="0"/>
        <w:spacing w:line="360" w:lineRule="auto"/>
        <w:ind w:firstLine="420"/>
        <w:textAlignment w:val="baseline"/>
        <w:rPr>
          <w:rFonts w:ascii="Times New Roman" w:hAnsi="Times New Roman" w:eastAsia="宋体" w:cs="Times New Roman"/>
          <w:color w:val="auto"/>
          <w:szCs w:val="21"/>
        </w:rPr>
      </w:pPr>
    </w:p>
    <w:tbl>
      <w:tblPr>
        <w:tblStyle w:val="2"/>
        <w:tblpPr w:leftFromText="180" w:rightFromText="180" w:vertAnchor="text" w:horzAnchor="page" w:tblpX="1820" w:tblpY="202"/>
        <w:tblOverlap w:val="never"/>
        <w:tblW w:w="832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1"/>
        <w:gridCol w:w="6094"/>
      </w:tblGrid>
      <w:tr w14:paraId="0920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2231" w:type="dxa"/>
            <w:tcMar>
              <w:left w:w="75" w:type="dxa"/>
            </w:tcMar>
            <w:vAlign w:val="center"/>
          </w:tcPr>
          <w:p w14:paraId="3300D133">
            <w:pPr>
              <w:snapToGrid w:val="0"/>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条款内容</w:t>
            </w:r>
          </w:p>
        </w:tc>
        <w:tc>
          <w:tcPr>
            <w:tcW w:w="6094" w:type="dxa"/>
            <w:vAlign w:val="center"/>
          </w:tcPr>
          <w:p w14:paraId="4123311B">
            <w:pPr>
              <w:widowControl/>
              <w:snapToGrid w:val="0"/>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编列内容</w:t>
            </w:r>
          </w:p>
        </w:tc>
      </w:tr>
      <w:tr w14:paraId="2A7A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2231" w:type="dxa"/>
            <w:tcMar>
              <w:left w:w="75" w:type="dxa"/>
            </w:tcMar>
            <w:vAlign w:val="center"/>
          </w:tcPr>
          <w:p w14:paraId="2C61CE42">
            <w:pPr>
              <w:snapToGrid w:val="0"/>
              <w:jc w:val="left"/>
              <w:rPr>
                <w:rFonts w:ascii="Times New Roman" w:hAnsi="Times New Roman" w:eastAsia="宋体" w:cs="Times New Roman"/>
                <w:color w:val="auto"/>
                <w:szCs w:val="21"/>
              </w:rPr>
            </w:pPr>
            <w:r>
              <w:rPr>
                <w:rFonts w:ascii="Times New Roman" w:hAnsi="Times New Roman" w:eastAsia="宋体" w:cs="Times New Roman"/>
                <w:color w:val="auto"/>
                <w:szCs w:val="21"/>
              </w:rPr>
              <w:t>分值构成</w:t>
            </w:r>
            <w:r>
              <w:rPr>
                <w:rFonts w:hint="eastAsia" w:ascii="宋体" w:hAnsi="宋体" w:eastAsia="宋体" w:cs="宋体"/>
                <w:bCs/>
                <w:spacing w:val="-2"/>
                <w:sz w:val="21"/>
                <w:szCs w:val="21"/>
                <w:highlight w:val="none"/>
              </w:rPr>
              <w:t>(总分100分)</w:t>
            </w:r>
          </w:p>
        </w:tc>
        <w:tc>
          <w:tcPr>
            <w:tcW w:w="6094" w:type="dxa"/>
            <w:vAlign w:val="center"/>
          </w:tcPr>
          <w:p w14:paraId="7DE302FF">
            <w:pPr>
              <w:spacing w:line="360" w:lineRule="atLeast"/>
              <w:ind w:firstLine="420"/>
              <w:rPr>
                <w:rFonts w:ascii="Times New Roman" w:hAnsi="Times New Roman" w:eastAsia="宋体" w:cs="Times New Roman"/>
                <w:color w:val="auto"/>
                <w:szCs w:val="21"/>
              </w:rPr>
            </w:pPr>
            <w:r>
              <w:rPr>
                <w:rFonts w:hint="eastAsia" w:ascii="Times New Roman" w:hAnsi="Times New Roman" w:eastAsia="宋体" w:cs="Times New Roman"/>
                <w:color w:val="auto"/>
                <w:szCs w:val="21"/>
              </w:rPr>
              <w:t>企业</w:t>
            </w:r>
            <w:r>
              <w:rPr>
                <w:rFonts w:hint="eastAsia" w:ascii="Times New Roman" w:hAnsi="Times New Roman" w:eastAsia="宋体" w:cs="Times New Roman"/>
                <w:color w:val="auto"/>
                <w:szCs w:val="21"/>
                <w:lang w:val="en-US" w:eastAsia="zh-CN"/>
              </w:rPr>
              <w:t>业绩</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u w:val="single"/>
                <w:lang w:val="en-US" w:eastAsia="zh-CN"/>
              </w:rPr>
              <w:t>30</w:t>
            </w:r>
            <w:r>
              <w:rPr>
                <w:rFonts w:ascii="Times New Roman" w:hAnsi="Times New Roman" w:eastAsia="宋体" w:cs="Times New Roman"/>
                <w:color w:val="auto"/>
                <w:szCs w:val="21"/>
              </w:rPr>
              <w:t>分</w:t>
            </w:r>
          </w:p>
          <w:p w14:paraId="60F5FD4C">
            <w:pPr>
              <w:spacing w:line="360" w:lineRule="atLeast"/>
              <w:ind w:firstLine="420"/>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配送实力</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u w:val="single"/>
                <w:lang w:val="en-US" w:eastAsia="zh-CN"/>
              </w:rPr>
              <w:t>10</w:t>
            </w:r>
            <w:r>
              <w:rPr>
                <w:rFonts w:ascii="Times New Roman" w:hAnsi="Times New Roman" w:eastAsia="宋体" w:cs="Times New Roman"/>
                <w:color w:val="auto"/>
                <w:szCs w:val="21"/>
              </w:rPr>
              <w:t>分</w:t>
            </w:r>
          </w:p>
          <w:p w14:paraId="624E8CFA">
            <w:pPr>
              <w:spacing w:line="360" w:lineRule="atLeast"/>
              <w:ind w:firstLine="420"/>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商品质量保障方案</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u w:val="single"/>
                <w:lang w:val="en-US" w:eastAsia="zh-CN"/>
              </w:rPr>
              <w:t>10</w:t>
            </w:r>
            <w:r>
              <w:rPr>
                <w:rFonts w:ascii="Times New Roman" w:hAnsi="Times New Roman" w:eastAsia="宋体" w:cs="Times New Roman"/>
                <w:color w:val="auto"/>
                <w:szCs w:val="21"/>
              </w:rPr>
              <w:t>分</w:t>
            </w:r>
          </w:p>
          <w:p w14:paraId="16338054">
            <w:pPr>
              <w:spacing w:line="360" w:lineRule="atLeast"/>
              <w:ind w:firstLine="420"/>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服务响应及售后方案</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u w:val="single"/>
                <w:lang w:val="en-US" w:eastAsia="zh-CN"/>
              </w:rPr>
              <w:t>10</w:t>
            </w:r>
            <w:r>
              <w:rPr>
                <w:rFonts w:ascii="Times New Roman" w:hAnsi="Times New Roman" w:eastAsia="宋体" w:cs="Times New Roman"/>
                <w:color w:val="auto"/>
                <w:szCs w:val="21"/>
              </w:rPr>
              <w:t>分</w:t>
            </w:r>
          </w:p>
          <w:p w14:paraId="3E497AFD">
            <w:pPr>
              <w:spacing w:line="360" w:lineRule="atLeast"/>
              <w:ind w:firstLine="42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报价：</w:t>
            </w:r>
            <w:r>
              <w:rPr>
                <w:rFonts w:hint="eastAsia" w:ascii="Times New Roman" w:hAnsi="Times New Roman" w:eastAsia="宋体" w:cs="Times New Roman"/>
                <w:color w:val="auto"/>
                <w:szCs w:val="21"/>
                <w:u w:val="single"/>
                <w:lang w:val="en-US" w:eastAsia="zh-CN"/>
              </w:rPr>
              <w:t>40</w:t>
            </w:r>
            <w:r>
              <w:rPr>
                <w:rFonts w:hint="eastAsia" w:ascii="Times New Roman" w:hAnsi="Times New Roman" w:eastAsia="宋体" w:cs="Times New Roman"/>
                <w:color w:val="auto"/>
                <w:szCs w:val="21"/>
                <w:lang w:val="en-US" w:eastAsia="zh-CN"/>
              </w:rPr>
              <w:t>分</w:t>
            </w:r>
          </w:p>
        </w:tc>
      </w:tr>
      <w:tr w14:paraId="0CA9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2231" w:type="dxa"/>
            <w:tcMar>
              <w:left w:w="75" w:type="dxa"/>
            </w:tcMar>
            <w:vAlign w:val="center"/>
          </w:tcPr>
          <w:p w14:paraId="4B35FA91">
            <w:pPr>
              <w:snapToGrid w:val="0"/>
              <w:jc w:val="left"/>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评审基准价计算方式</w:t>
            </w:r>
          </w:p>
        </w:tc>
        <w:tc>
          <w:tcPr>
            <w:tcW w:w="6094" w:type="dxa"/>
            <w:vAlign w:val="center"/>
          </w:tcPr>
          <w:p w14:paraId="099118D7">
            <w:pPr>
              <w:spacing w:line="360" w:lineRule="atLeast"/>
              <w:ind w:firstLine="420"/>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评审基准价的计算：</w:t>
            </w:r>
          </w:p>
          <w:p w14:paraId="728E9923">
            <w:pPr>
              <w:spacing w:line="360" w:lineRule="atLeast"/>
              <w:ind w:firstLine="420"/>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（1）报名价的确定：</w:t>
            </w:r>
          </w:p>
          <w:p w14:paraId="3EF0F59B">
            <w:pPr>
              <w:spacing w:line="360" w:lineRule="atLeast"/>
              <w:ind w:firstLine="420"/>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报名价＝报名报价表中填写的报价</w:t>
            </w:r>
          </w:p>
          <w:p w14:paraId="6444600E">
            <w:pPr>
              <w:spacing w:line="360" w:lineRule="atLeast"/>
              <w:ind w:firstLine="420"/>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（2）基准价的确定：</w:t>
            </w:r>
          </w:p>
          <w:p w14:paraId="5B9838BA">
            <w:pPr>
              <w:spacing w:line="360" w:lineRule="atLeast"/>
              <w:ind w:firstLine="420"/>
              <w:rPr>
                <w:rFonts w:hint="default" w:ascii="Calibri" w:hAnsi="Calibri" w:eastAsia="宋体" w:cs="Times New Roman"/>
                <w:lang w:val="en-US" w:eastAsia="zh-CN"/>
              </w:rPr>
            </w:pPr>
            <w:r>
              <w:rPr>
                <w:rFonts w:hint="eastAsia" w:ascii="Times New Roman" w:hAnsi="Times New Roman" w:eastAsia="宋体" w:cs="Times New Roman"/>
                <w:color w:val="auto"/>
                <w:szCs w:val="21"/>
                <w:lang w:val="en-US" w:eastAsia="zh-CN"/>
              </w:rPr>
              <w:t>对报名人的评审价排序后分别去除一个最高值（由高到低）和一个最低值（由低到高），剩余报名人评审价的算术平均值为评审价平均值Bi（如果参与评审价平均值计算的有效报名人少于等于5家时，则计算评审价平均值时不去掉最高值和最低值）。</w:t>
            </w:r>
            <w:r>
              <w:rPr>
                <w:rFonts w:ascii="Times New Roman" w:hAnsi="Times New Roman" w:eastAsia="宋体" w:cs="Times New Roman"/>
                <w:sz w:val="22"/>
                <w:szCs w:val="20"/>
              </w:rPr>
              <w:t>评标价的算术平均值Bi值即为评标基准价。</w:t>
            </w:r>
          </w:p>
        </w:tc>
      </w:tr>
      <w:tr w14:paraId="4785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2231" w:type="dxa"/>
            <w:tcMar>
              <w:left w:w="75" w:type="dxa"/>
            </w:tcMar>
            <w:vAlign w:val="center"/>
          </w:tcPr>
          <w:p w14:paraId="2C7378AB">
            <w:pPr>
              <w:snapToGrid w:val="0"/>
              <w:jc w:val="left"/>
              <w:rPr>
                <w:rFonts w:hint="eastAsia" w:ascii="Times New Roman" w:hAnsi="Times New Roman" w:eastAsia="宋体" w:cs="Times New Roman"/>
                <w:color w:val="auto"/>
                <w:szCs w:val="21"/>
                <w:lang w:val="en-US" w:eastAsia="zh-CN"/>
              </w:rPr>
            </w:pPr>
            <w:r>
              <w:rPr>
                <w:rFonts w:ascii="Calibri" w:hAnsi="Calibri" w:eastAsia="宋体" w:cs="Times New Roman"/>
                <w:sz w:val="22"/>
                <w:szCs w:val="21"/>
              </w:rPr>
              <w:t>评</w:t>
            </w:r>
            <w:r>
              <w:rPr>
                <w:rFonts w:hint="eastAsia" w:ascii="Calibri" w:hAnsi="Calibri" w:eastAsia="宋体" w:cs="Times New Roman"/>
                <w:sz w:val="22"/>
                <w:szCs w:val="21"/>
                <w:lang w:val="en-US" w:eastAsia="zh-CN"/>
              </w:rPr>
              <w:t>审</w:t>
            </w:r>
            <w:r>
              <w:rPr>
                <w:rFonts w:ascii="Calibri" w:hAnsi="Calibri" w:eastAsia="宋体" w:cs="Times New Roman"/>
                <w:sz w:val="22"/>
                <w:szCs w:val="21"/>
              </w:rPr>
              <w:t>价的偏差率计算公式</w:t>
            </w:r>
          </w:p>
        </w:tc>
        <w:tc>
          <w:tcPr>
            <w:tcW w:w="6094" w:type="dxa"/>
            <w:vAlign w:val="center"/>
          </w:tcPr>
          <w:p w14:paraId="1C381F59">
            <w:pPr>
              <w:rPr>
                <w:rFonts w:ascii="Times New Roman" w:hAnsi="Times New Roman" w:eastAsia="宋体" w:cs="Times New Roman"/>
                <w:sz w:val="22"/>
                <w:szCs w:val="22"/>
              </w:rPr>
            </w:pPr>
            <w:r>
              <w:rPr>
                <w:rFonts w:ascii="Times New Roman" w:hAnsi="Times New Roman" w:eastAsia="宋体" w:cs="Times New Roman"/>
                <w:sz w:val="22"/>
                <w:szCs w:val="22"/>
              </w:rPr>
              <w:t>偏差率＝100% ×（</w:t>
            </w:r>
            <w:r>
              <w:rPr>
                <w:rFonts w:hint="eastAsia" w:ascii="Times New Roman" w:hAnsi="Times New Roman" w:eastAsia="宋体" w:cs="Times New Roman"/>
                <w:sz w:val="22"/>
                <w:szCs w:val="22"/>
                <w:lang w:val="en-US" w:eastAsia="zh-CN"/>
              </w:rPr>
              <w:t>报名人</w:t>
            </w:r>
            <w:r>
              <w:rPr>
                <w:rFonts w:ascii="Times New Roman" w:hAnsi="Times New Roman" w:eastAsia="宋体" w:cs="Times New Roman"/>
                <w:sz w:val="22"/>
                <w:szCs w:val="22"/>
              </w:rPr>
              <w:t>评</w:t>
            </w:r>
            <w:r>
              <w:rPr>
                <w:rFonts w:hint="eastAsia" w:ascii="Times New Roman" w:hAnsi="Times New Roman" w:eastAsia="宋体" w:cs="Times New Roman"/>
                <w:sz w:val="22"/>
                <w:szCs w:val="22"/>
                <w:lang w:val="en-US" w:eastAsia="zh-CN"/>
              </w:rPr>
              <w:t>审</w:t>
            </w:r>
            <w:r>
              <w:rPr>
                <w:rFonts w:ascii="Times New Roman" w:hAnsi="Times New Roman" w:eastAsia="宋体" w:cs="Times New Roman"/>
                <w:sz w:val="22"/>
                <w:szCs w:val="22"/>
              </w:rPr>
              <w:t>价－评</w:t>
            </w:r>
            <w:r>
              <w:rPr>
                <w:rFonts w:hint="eastAsia" w:ascii="Times New Roman" w:hAnsi="Times New Roman" w:eastAsia="宋体" w:cs="Times New Roman"/>
                <w:sz w:val="22"/>
                <w:szCs w:val="22"/>
                <w:lang w:val="en-US" w:eastAsia="zh-CN"/>
              </w:rPr>
              <w:t>审</w:t>
            </w:r>
            <w:r>
              <w:rPr>
                <w:rFonts w:ascii="Times New Roman" w:hAnsi="Times New Roman" w:eastAsia="宋体" w:cs="Times New Roman"/>
                <w:sz w:val="22"/>
                <w:szCs w:val="22"/>
              </w:rPr>
              <w:t>基准价）/评</w:t>
            </w:r>
            <w:r>
              <w:rPr>
                <w:rFonts w:hint="eastAsia" w:ascii="Times New Roman" w:hAnsi="Times New Roman" w:eastAsia="宋体" w:cs="Times New Roman"/>
                <w:sz w:val="22"/>
                <w:szCs w:val="22"/>
                <w:lang w:val="en-US" w:eastAsia="zh-CN"/>
              </w:rPr>
              <w:t>审</w:t>
            </w:r>
            <w:r>
              <w:rPr>
                <w:rFonts w:ascii="Times New Roman" w:hAnsi="Times New Roman" w:eastAsia="宋体" w:cs="Times New Roman"/>
                <w:sz w:val="22"/>
                <w:szCs w:val="22"/>
              </w:rPr>
              <w:t>基准价</w:t>
            </w:r>
          </w:p>
          <w:p w14:paraId="2B524612">
            <w:pPr>
              <w:widowControl w:val="0"/>
              <w:spacing w:after="120"/>
              <w:jc w:val="both"/>
              <w:rPr>
                <w:rFonts w:hint="default" w:ascii="Calibri" w:hAnsi="Calibri" w:eastAsia="宋体" w:cs="Times New Roman"/>
                <w:kern w:val="2"/>
                <w:sz w:val="21"/>
                <w:szCs w:val="24"/>
                <w:lang w:val="en-US" w:eastAsia="zh-CN" w:bidi="ar-SA"/>
              </w:rPr>
            </w:pPr>
            <w:r>
              <w:rPr>
                <w:rFonts w:ascii="Times New Roman" w:hAnsi="Times New Roman" w:eastAsia="宋体" w:cs="Times New Roman"/>
                <w:kern w:val="2"/>
                <w:sz w:val="22"/>
                <w:szCs w:val="22"/>
                <w:lang w:val="en-US" w:eastAsia="zh-CN" w:bidi="ar-SA"/>
              </w:rPr>
              <w:t>偏差率</w:t>
            </w:r>
            <w:r>
              <w:rPr>
                <w:rFonts w:hint="eastAsia" w:ascii="Times New Roman" w:hAnsi="Times New Roman" w:eastAsia="宋体" w:cs="Times New Roman"/>
                <w:kern w:val="2"/>
                <w:sz w:val="22"/>
                <w:szCs w:val="22"/>
                <w:lang w:val="en-US" w:eastAsia="zh-CN" w:bidi="ar-SA"/>
              </w:rPr>
              <w:t>%</w:t>
            </w:r>
            <w:r>
              <w:rPr>
                <w:rFonts w:ascii="Times New Roman" w:hAnsi="Times New Roman" w:eastAsia="宋体" w:cs="Times New Roman"/>
                <w:kern w:val="2"/>
                <w:sz w:val="22"/>
                <w:szCs w:val="22"/>
                <w:lang w:val="en-US" w:eastAsia="zh-CN" w:bidi="ar-SA"/>
              </w:rPr>
              <w:t>保留</w:t>
            </w:r>
            <w:r>
              <w:rPr>
                <w:rFonts w:ascii="Times New Roman" w:hAnsi="Times New Roman" w:eastAsia="宋体" w:cs="Times New Roman"/>
                <w:kern w:val="2"/>
                <w:sz w:val="22"/>
                <w:szCs w:val="22"/>
                <w:u w:val="single"/>
                <w:lang w:val="en-US" w:eastAsia="zh-CN" w:bidi="ar-SA"/>
              </w:rPr>
              <w:t>2</w:t>
            </w:r>
            <w:r>
              <w:rPr>
                <w:rFonts w:ascii="Times New Roman" w:hAnsi="Times New Roman" w:eastAsia="宋体" w:cs="Times New Roman"/>
                <w:kern w:val="2"/>
                <w:sz w:val="22"/>
                <w:szCs w:val="22"/>
                <w:lang w:val="en-US" w:eastAsia="zh-CN" w:bidi="ar-SA"/>
              </w:rPr>
              <w:t>位小数</w:t>
            </w:r>
          </w:p>
        </w:tc>
      </w:tr>
    </w:tbl>
    <w:p w14:paraId="5EDA918D">
      <w:pPr>
        <w:jc w:val="left"/>
        <w:rPr>
          <w:rFonts w:ascii="Times New Roman" w:hAnsi="Times New Roman" w:eastAsia="宋体" w:cs="Times New Roman"/>
          <w:color w:val="auto"/>
          <w:spacing w:val="4"/>
          <w:szCs w:val="21"/>
        </w:rPr>
      </w:pPr>
    </w:p>
    <w:tbl>
      <w:tblPr>
        <w:tblStyle w:val="2"/>
        <w:tblpPr w:leftFromText="180" w:rightFromText="180" w:vertAnchor="text" w:horzAnchor="page" w:tblpX="1984" w:tblpY="491"/>
        <w:tblOverlap w:val="never"/>
        <w:tblW w:w="8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85"/>
        <w:gridCol w:w="1478"/>
        <w:gridCol w:w="892"/>
        <w:gridCol w:w="4008"/>
      </w:tblGrid>
      <w:tr w14:paraId="7C2D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320" w:type="dxa"/>
            <w:gridSpan w:val="4"/>
            <w:tcBorders>
              <w:top w:val="single" w:color="auto" w:sz="4" w:space="0"/>
            </w:tcBorders>
            <w:vAlign w:val="center"/>
          </w:tcPr>
          <w:p w14:paraId="6FA884C9">
            <w:pPr>
              <w:spacing w:line="380" w:lineRule="atLeas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评分因素与权重分值</w:t>
            </w:r>
          </w:p>
        </w:tc>
        <w:tc>
          <w:tcPr>
            <w:tcW w:w="4008" w:type="dxa"/>
            <w:vMerge w:val="restart"/>
            <w:tcBorders>
              <w:top w:val="single" w:color="auto" w:sz="4" w:space="0"/>
            </w:tcBorders>
            <w:vAlign w:val="center"/>
          </w:tcPr>
          <w:p w14:paraId="3A8EA332">
            <w:pPr>
              <w:spacing w:line="380" w:lineRule="atLeast"/>
              <w:jc w:val="center"/>
              <w:rPr>
                <w:rFonts w:hint="eastAsia" w:ascii="Times New Roman" w:hAnsi="Times New Roman" w:eastAsia="宋体" w:cs="Times New Roman"/>
                <w:b/>
                <w:color w:val="auto"/>
                <w:szCs w:val="21"/>
                <w:lang w:val="en-US" w:eastAsia="zh-CN"/>
              </w:rPr>
            </w:pPr>
            <w:r>
              <w:rPr>
                <w:rFonts w:hint="eastAsia" w:ascii="Times New Roman" w:hAnsi="Times New Roman" w:eastAsia="宋体" w:cs="Times New Roman"/>
                <w:b/>
                <w:color w:val="auto"/>
                <w:szCs w:val="21"/>
                <w:lang w:val="en-US" w:eastAsia="zh-CN"/>
              </w:rPr>
              <w:t>评分标准</w:t>
            </w:r>
          </w:p>
        </w:tc>
      </w:tr>
      <w:tr w14:paraId="74A6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65" w:type="dxa"/>
            <w:vAlign w:val="center"/>
          </w:tcPr>
          <w:p w14:paraId="67CE1513">
            <w:pPr>
              <w:spacing w:line="380" w:lineRule="atLeas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评分因素</w:t>
            </w:r>
          </w:p>
        </w:tc>
        <w:tc>
          <w:tcPr>
            <w:tcW w:w="885" w:type="dxa"/>
            <w:vAlign w:val="center"/>
          </w:tcPr>
          <w:p w14:paraId="4DE8B56D">
            <w:pPr>
              <w:spacing w:line="380" w:lineRule="atLeast"/>
              <w:ind w:left="-105" w:leftChars="-50" w:right="-105" w:rightChars="-5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评分因素权重分值</w:t>
            </w:r>
          </w:p>
        </w:tc>
        <w:tc>
          <w:tcPr>
            <w:tcW w:w="1478" w:type="dxa"/>
            <w:vAlign w:val="center"/>
          </w:tcPr>
          <w:p w14:paraId="043E4749">
            <w:pPr>
              <w:spacing w:line="380" w:lineRule="atLeas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各评分因素细分项</w:t>
            </w:r>
          </w:p>
        </w:tc>
        <w:tc>
          <w:tcPr>
            <w:tcW w:w="892" w:type="dxa"/>
            <w:vAlign w:val="center"/>
          </w:tcPr>
          <w:p w14:paraId="35DF7167">
            <w:pPr>
              <w:spacing w:line="380" w:lineRule="atLeast"/>
              <w:jc w:val="right"/>
              <w:rPr>
                <w:rFonts w:ascii="Times New Roman" w:hAnsi="Times New Roman" w:eastAsia="宋体" w:cs="Times New Roman"/>
                <w:b/>
                <w:color w:val="auto"/>
                <w:szCs w:val="21"/>
              </w:rPr>
            </w:pPr>
            <w:r>
              <w:rPr>
                <w:rFonts w:ascii="Times New Roman" w:hAnsi="Times New Roman" w:eastAsia="宋体" w:cs="Times New Roman"/>
                <w:b/>
                <w:color w:val="auto"/>
                <w:szCs w:val="21"/>
              </w:rPr>
              <w:t>分值</w:t>
            </w:r>
          </w:p>
        </w:tc>
        <w:tc>
          <w:tcPr>
            <w:tcW w:w="4008" w:type="dxa"/>
            <w:vMerge w:val="continue"/>
          </w:tcPr>
          <w:p w14:paraId="2A6718F8">
            <w:pPr>
              <w:spacing w:line="380" w:lineRule="atLeast"/>
              <w:jc w:val="center"/>
              <w:rPr>
                <w:rFonts w:hint="default" w:ascii="Times New Roman" w:hAnsi="Times New Roman" w:eastAsia="宋体" w:cs="Times New Roman"/>
                <w:b/>
                <w:color w:val="auto"/>
                <w:szCs w:val="21"/>
                <w:lang w:val="en-US" w:eastAsia="zh-CN"/>
              </w:rPr>
            </w:pPr>
          </w:p>
        </w:tc>
      </w:tr>
      <w:tr w14:paraId="40FF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1065" w:type="dxa"/>
            <w:vMerge w:val="restart"/>
            <w:vAlign w:val="center"/>
          </w:tcPr>
          <w:p w14:paraId="3F52F348">
            <w:pPr>
              <w:spacing w:line="380" w:lineRule="atLeast"/>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企业实力</w:t>
            </w:r>
          </w:p>
        </w:tc>
        <w:tc>
          <w:tcPr>
            <w:tcW w:w="885" w:type="dxa"/>
            <w:vMerge w:val="restart"/>
            <w:vAlign w:val="center"/>
          </w:tcPr>
          <w:p w14:paraId="41FE854C">
            <w:pPr>
              <w:spacing w:line="380" w:lineRule="atLeast"/>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40分</w:t>
            </w:r>
          </w:p>
        </w:tc>
        <w:tc>
          <w:tcPr>
            <w:tcW w:w="1478" w:type="dxa"/>
          </w:tcPr>
          <w:p w14:paraId="08E67EE4">
            <w:pPr>
              <w:spacing w:line="380" w:lineRule="atLeast"/>
              <w:jc w:val="center"/>
              <w:rPr>
                <w:rFonts w:hint="eastAsia" w:ascii="Times New Roman" w:hAnsi="Times New Roman" w:eastAsia="宋体" w:cs="Times New Roman"/>
                <w:color w:val="auto"/>
                <w:szCs w:val="21"/>
                <w:lang w:val="en-US" w:eastAsia="zh-CN"/>
              </w:rPr>
            </w:pPr>
          </w:p>
          <w:p w14:paraId="6E1F1E5C">
            <w:pPr>
              <w:spacing w:line="380" w:lineRule="atLeast"/>
              <w:jc w:val="center"/>
              <w:rPr>
                <w:rFonts w:hint="eastAsia" w:ascii="Times New Roman" w:hAnsi="Times New Roman" w:eastAsia="宋体" w:cs="Times New Roman"/>
                <w:color w:val="auto"/>
                <w:szCs w:val="21"/>
                <w:lang w:val="en-US" w:eastAsia="zh-CN"/>
              </w:rPr>
            </w:pPr>
          </w:p>
          <w:p w14:paraId="1E221E73">
            <w:pPr>
              <w:spacing w:line="380" w:lineRule="atLeast"/>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企业业绩</w:t>
            </w:r>
          </w:p>
          <w:p w14:paraId="1019723F">
            <w:pPr>
              <w:spacing w:line="380" w:lineRule="atLeast"/>
              <w:jc w:val="center"/>
              <w:rPr>
                <w:rFonts w:hint="eastAsia" w:ascii="Times New Roman" w:hAnsi="Times New Roman" w:eastAsia="宋体" w:cs="Times New Roman"/>
                <w:color w:val="auto"/>
                <w:szCs w:val="21"/>
                <w:lang w:val="en-US" w:eastAsia="zh-CN"/>
              </w:rPr>
            </w:pPr>
          </w:p>
          <w:p w14:paraId="7BD6BE40">
            <w:pPr>
              <w:spacing w:line="380" w:lineRule="atLeast"/>
              <w:jc w:val="center"/>
              <w:rPr>
                <w:rFonts w:hint="eastAsia" w:ascii="Times New Roman" w:hAnsi="Times New Roman" w:eastAsia="宋体" w:cs="Times New Roman"/>
                <w:color w:val="auto"/>
                <w:kern w:val="2"/>
                <w:sz w:val="21"/>
                <w:szCs w:val="21"/>
                <w:lang w:val="en-US" w:eastAsia="zh-CN" w:bidi="ar-SA"/>
              </w:rPr>
            </w:pPr>
          </w:p>
        </w:tc>
        <w:tc>
          <w:tcPr>
            <w:tcW w:w="892" w:type="dxa"/>
            <w:shd w:val="clear" w:color="auto" w:fill="auto"/>
            <w:vAlign w:val="center"/>
          </w:tcPr>
          <w:p w14:paraId="046D9147">
            <w:pPr>
              <w:widowControl/>
              <w:jc w:val="left"/>
              <w:textAlignment w:val="center"/>
              <w:rPr>
                <w:rFonts w:hint="default"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Cs w:val="21"/>
                <w:highlight w:val="none"/>
                <w:lang w:val="en-US" w:eastAsia="zh-CN" w:bidi="ar"/>
              </w:rPr>
              <w:t>30分</w:t>
            </w:r>
          </w:p>
        </w:tc>
        <w:tc>
          <w:tcPr>
            <w:tcW w:w="4008" w:type="dxa"/>
            <w:shd w:val="clear" w:color="auto" w:fill="auto"/>
            <w:vAlign w:val="center"/>
          </w:tcPr>
          <w:p w14:paraId="3DE86765">
            <w:pPr>
              <w:numPr>
                <w:ilvl w:val="0"/>
                <w:numId w:val="0"/>
              </w:numPr>
              <w:rPr>
                <w:rFonts w:hint="default" w:ascii="Times New Roman" w:hAnsi="Times New Roman" w:eastAsia="宋体" w:cs="Times New Roman"/>
                <w:lang w:val="en-US" w:eastAsia="zh-CN"/>
              </w:rPr>
            </w:pPr>
            <w:r>
              <w:rPr>
                <w:rFonts w:hint="default" w:ascii="Times New Roman" w:hAnsi="Times New Roman" w:eastAsia="宋体" w:cs="Times New Roman"/>
                <w:kern w:val="2"/>
                <w:sz w:val="21"/>
                <w:szCs w:val="24"/>
                <w:lang w:val="en-US" w:eastAsia="zh-CN" w:bidi="ar-SA"/>
              </w:rPr>
              <w:t>满足资格审查条件业绩最低要求的得基本分18分。在此基础上，2022年1月1日起至今（以合同签订时间为准），每增加一个满足资格审查条件业绩最低要求的供货业绩，加4分，加满</w:t>
            </w:r>
            <w:r>
              <w:rPr>
                <w:rFonts w:hint="eastAsia" w:ascii="Times New Roman" w:hAnsi="Times New Roman" w:eastAsia="宋体" w:cs="Times New Roman"/>
                <w:kern w:val="2"/>
                <w:sz w:val="21"/>
                <w:szCs w:val="24"/>
                <w:lang w:val="en-US" w:eastAsia="zh-CN" w:bidi="ar-SA"/>
              </w:rPr>
              <w:t>30</w:t>
            </w:r>
            <w:bookmarkStart w:id="48" w:name="_GoBack"/>
            <w:bookmarkEnd w:id="48"/>
            <w:r>
              <w:rPr>
                <w:rFonts w:hint="default" w:ascii="Times New Roman" w:hAnsi="Times New Roman" w:eastAsia="宋体" w:cs="Times New Roman"/>
                <w:kern w:val="2"/>
                <w:sz w:val="21"/>
                <w:szCs w:val="24"/>
                <w:lang w:val="en-US" w:eastAsia="zh-CN" w:bidi="ar-SA"/>
              </w:rPr>
              <w:t>分为止。</w:t>
            </w:r>
          </w:p>
        </w:tc>
      </w:tr>
      <w:tr w14:paraId="1E30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65" w:type="dxa"/>
            <w:vMerge w:val="continue"/>
            <w:vAlign w:val="center"/>
          </w:tcPr>
          <w:p w14:paraId="0606E28D">
            <w:pPr>
              <w:spacing w:line="380" w:lineRule="atLeast"/>
              <w:jc w:val="center"/>
              <w:rPr>
                <w:rFonts w:ascii="Times New Roman" w:hAnsi="Times New Roman" w:eastAsia="宋体" w:cs="Times New Roman"/>
              </w:rPr>
            </w:pPr>
          </w:p>
        </w:tc>
        <w:tc>
          <w:tcPr>
            <w:tcW w:w="885" w:type="dxa"/>
            <w:vMerge w:val="continue"/>
            <w:vAlign w:val="center"/>
          </w:tcPr>
          <w:p w14:paraId="48A9A3C1">
            <w:pPr>
              <w:spacing w:line="380" w:lineRule="atLeast"/>
              <w:jc w:val="center"/>
              <w:rPr>
                <w:rFonts w:ascii="Times New Roman" w:hAnsi="Times New Roman" w:eastAsia="宋体" w:cs="Times New Roman"/>
              </w:rPr>
            </w:pPr>
          </w:p>
        </w:tc>
        <w:tc>
          <w:tcPr>
            <w:tcW w:w="1478" w:type="dxa"/>
            <w:shd w:val="clear" w:color="auto" w:fill="auto"/>
            <w:vAlign w:val="center"/>
          </w:tcPr>
          <w:p w14:paraId="210930FD">
            <w:pPr>
              <w:spacing w:line="380" w:lineRule="atLeas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配送实力</w:t>
            </w:r>
          </w:p>
        </w:tc>
        <w:tc>
          <w:tcPr>
            <w:tcW w:w="892" w:type="dxa"/>
            <w:shd w:val="clear" w:color="auto" w:fill="auto"/>
            <w:vAlign w:val="center"/>
          </w:tcPr>
          <w:p w14:paraId="0AA8828B">
            <w:pPr>
              <w:spacing w:line="380" w:lineRule="atLeas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10分</w:t>
            </w:r>
          </w:p>
        </w:tc>
        <w:tc>
          <w:tcPr>
            <w:tcW w:w="4008" w:type="dxa"/>
            <w:shd w:val="clear" w:color="auto" w:fill="auto"/>
            <w:vAlign w:val="top"/>
          </w:tcPr>
          <w:p w14:paraId="690BB651">
            <w:pPr>
              <w:rPr>
                <w:rFonts w:hint="eastAsia" w:ascii="Times New Roman" w:hAnsi="Times New Roman" w:eastAsia="宋体" w:cs="Times New Roman"/>
              </w:rPr>
            </w:pPr>
            <w:r>
              <w:rPr>
                <w:rFonts w:hint="eastAsia" w:ascii="Times New Roman" w:hAnsi="Times New Roman" w:eastAsia="宋体" w:cs="Times New Roman"/>
              </w:rPr>
              <w:t>具有不少于 1 台的冷藏（冷冻）车辆，满足得6分，数量不足不得分，每多提供1辆冷藏车，得1分，加满10分为止。</w:t>
            </w:r>
          </w:p>
          <w:p w14:paraId="4B1EBA41">
            <w:pP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rPr>
              <w:t>注：需提供自有车辆的有效《机动车行驶证》扫描件（行驶证所有人为该公司/法定代表人/被授权人）并加盖公章，或提供有效期内的冷藏（冷冻）车辆租赁合同扫描件并加盖公章（合同至少包括合同首页、合同内容页、租赁车辆具体情况、签字盖章页）和年检有效期内的《机动车行驶证》扫描件并加盖公章；车辆图片（图片为上牌的车辆整体图片）。</w:t>
            </w:r>
          </w:p>
        </w:tc>
      </w:tr>
      <w:tr w14:paraId="3316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65" w:type="dxa"/>
            <w:vMerge w:val="restart"/>
            <w:vAlign w:val="center"/>
          </w:tcPr>
          <w:p w14:paraId="76472F07">
            <w:pPr>
              <w:widowControl/>
              <w:jc w:val="center"/>
              <w:textAlignment w:val="center"/>
              <w:rPr>
                <w:rFonts w:hint="eastAsia" w:ascii="Times New Roman" w:hAnsi="Times New Roman" w:eastAsia="宋体" w:cs="Times New Roman"/>
                <w:lang w:val="en-US" w:eastAsia="zh-CN"/>
              </w:rPr>
            </w:pPr>
          </w:p>
          <w:p w14:paraId="4E517873">
            <w:pPr>
              <w:widowControl/>
              <w:jc w:val="center"/>
              <w:textAlignment w:val="center"/>
              <w:rPr>
                <w:rFonts w:hint="eastAsia" w:ascii="Times New Roman" w:hAnsi="Times New Roman" w:eastAsia="宋体" w:cs="Times New Roman"/>
                <w:lang w:val="en-US" w:eastAsia="zh-CN"/>
              </w:rPr>
            </w:pPr>
          </w:p>
          <w:p w14:paraId="138E781A">
            <w:pPr>
              <w:widowControl/>
              <w:jc w:val="center"/>
              <w:textAlignment w:val="center"/>
              <w:rPr>
                <w:rFonts w:hint="eastAsia" w:ascii="Times New Roman" w:hAnsi="Times New Roman" w:eastAsia="宋体" w:cs="Times New Roman"/>
                <w:lang w:val="en-US" w:eastAsia="zh-CN"/>
              </w:rPr>
            </w:pPr>
          </w:p>
          <w:p w14:paraId="24CD4961">
            <w:pPr>
              <w:widowControl/>
              <w:jc w:val="both"/>
              <w:textAlignment w:val="center"/>
              <w:rPr>
                <w:rFonts w:hint="eastAsia" w:ascii="Times New Roman" w:hAnsi="Times New Roman" w:eastAsia="宋体" w:cs="Times New Roman"/>
                <w:lang w:val="en-US" w:eastAsia="zh-CN"/>
              </w:rPr>
            </w:pPr>
          </w:p>
          <w:p w14:paraId="52E26DD0">
            <w:pPr>
              <w:widowControl/>
              <w:jc w:val="both"/>
              <w:textAlignment w:val="center"/>
              <w:rPr>
                <w:rFonts w:hint="eastAsia" w:ascii="Times New Roman" w:hAnsi="Times New Roman" w:eastAsia="宋体" w:cs="Times New Roman"/>
                <w:lang w:val="en-US" w:eastAsia="zh-CN"/>
              </w:rPr>
            </w:pPr>
          </w:p>
          <w:p w14:paraId="5F2D1A23">
            <w:pPr>
              <w:widowControl/>
              <w:jc w:val="both"/>
              <w:textAlignment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服务方案</w:t>
            </w:r>
          </w:p>
          <w:p w14:paraId="7936239C">
            <w:pPr>
              <w:widowControl/>
              <w:jc w:val="center"/>
              <w:textAlignment w:val="center"/>
              <w:rPr>
                <w:rFonts w:hint="eastAsia" w:ascii="Times New Roman" w:hAnsi="Times New Roman" w:eastAsia="宋体" w:cs="Times New Roman"/>
                <w:lang w:val="en-US" w:eastAsia="zh-CN"/>
              </w:rPr>
            </w:pPr>
          </w:p>
          <w:p w14:paraId="06E3FA28">
            <w:pPr>
              <w:widowControl/>
              <w:jc w:val="center"/>
              <w:textAlignment w:val="center"/>
              <w:rPr>
                <w:rFonts w:hint="eastAsia" w:ascii="Times New Roman" w:hAnsi="Times New Roman" w:eastAsia="宋体" w:cs="Times New Roman"/>
                <w:lang w:val="en-US" w:eastAsia="zh-CN"/>
              </w:rPr>
            </w:pPr>
          </w:p>
          <w:p w14:paraId="3A1B8F26">
            <w:pPr>
              <w:widowControl/>
              <w:jc w:val="center"/>
              <w:textAlignment w:val="center"/>
              <w:rPr>
                <w:rFonts w:hint="eastAsia" w:ascii="Times New Roman" w:hAnsi="Times New Roman" w:eastAsia="宋体" w:cs="Times New Roman"/>
                <w:lang w:val="en-US" w:eastAsia="zh-CN"/>
              </w:rPr>
            </w:pPr>
          </w:p>
          <w:p w14:paraId="473FF600">
            <w:pPr>
              <w:widowControl/>
              <w:jc w:val="center"/>
              <w:textAlignment w:val="center"/>
              <w:rPr>
                <w:rFonts w:hint="eastAsia" w:ascii="Times New Roman" w:hAnsi="Times New Roman" w:eastAsia="宋体" w:cs="Times New Roman"/>
                <w:lang w:val="en-US" w:eastAsia="zh-CN"/>
              </w:rPr>
            </w:pPr>
          </w:p>
          <w:p w14:paraId="23B49C68">
            <w:pPr>
              <w:widowControl/>
              <w:jc w:val="center"/>
              <w:textAlignment w:val="center"/>
              <w:rPr>
                <w:rFonts w:hint="default" w:ascii="Times New Roman" w:hAnsi="Times New Roman" w:eastAsia="宋体" w:cs="Times New Roman"/>
                <w:lang w:val="en-US" w:eastAsia="zh-CN"/>
              </w:rPr>
            </w:pPr>
          </w:p>
        </w:tc>
        <w:tc>
          <w:tcPr>
            <w:tcW w:w="885" w:type="dxa"/>
            <w:vMerge w:val="restart"/>
            <w:vAlign w:val="center"/>
          </w:tcPr>
          <w:p w14:paraId="3551842B">
            <w:pPr>
              <w:widowControl/>
              <w:jc w:val="left"/>
              <w:textAlignment w:val="center"/>
              <w:rPr>
                <w:rFonts w:hint="eastAsia" w:ascii="Times New Roman" w:hAnsi="Times New Roman" w:eastAsia="宋体" w:cs="Times New Roman"/>
                <w:lang w:val="en-US" w:eastAsia="zh-CN"/>
              </w:rPr>
            </w:pPr>
          </w:p>
          <w:p w14:paraId="1B7D99F0">
            <w:pPr>
              <w:widowControl/>
              <w:jc w:val="left"/>
              <w:textAlignment w:val="center"/>
              <w:rPr>
                <w:rFonts w:hint="eastAsia" w:ascii="Times New Roman" w:hAnsi="Times New Roman" w:eastAsia="宋体" w:cs="Times New Roman"/>
                <w:lang w:val="en-US" w:eastAsia="zh-CN"/>
              </w:rPr>
            </w:pPr>
          </w:p>
          <w:p w14:paraId="3C68E28B">
            <w:pPr>
              <w:widowControl/>
              <w:jc w:val="left"/>
              <w:textAlignment w:val="center"/>
              <w:rPr>
                <w:rFonts w:hint="eastAsia" w:ascii="Times New Roman" w:hAnsi="Times New Roman" w:eastAsia="宋体" w:cs="Times New Roman"/>
                <w:lang w:val="en-US" w:eastAsia="zh-CN"/>
              </w:rPr>
            </w:pPr>
          </w:p>
          <w:p w14:paraId="2A00F1D3">
            <w:pPr>
              <w:widowControl/>
              <w:jc w:val="left"/>
              <w:textAlignment w:val="center"/>
              <w:rPr>
                <w:rFonts w:hint="eastAsia" w:ascii="Times New Roman" w:hAnsi="Times New Roman" w:eastAsia="宋体" w:cs="Times New Roman"/>
                <w:lang w:val="en-US" w:eastAsia="zh-CN"/>
              </w:rPr>
            </w:pPr>
          </w:p>
          <w:p w14:paraId="24DC8AAC">
            <w:pPr>
              <w:widowControl/>
              <w:jc w:val="left"/>
              <w:textAlignment w:val="center"/>
              <w:rPr>
                <w:rFonts w:hint="eastAsia" w:ascii="Times New Roman" w:hAnsi="Times New Roman" w:eastAsia="宋体" w:cs="Times New Roman"/>
                <w:lang w:val="en-US" w:eastAsia="zh-CN"/>
              </w:rPr>
            </w:pPr>
          </w:p>
          <w:p w14:paraId="1C3DB9D3">
            <w:pPr>
              <w:widowControl/>
              <w:jc w:val="left"/>
              <w:textAlignment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20分</w:t>
            </w:r>
          </w:p>
        </w:tc>
        <w:tc>
          <w:tcPr>
            <w:tcW w:w="1478" w:type="dxa"/>
          </w:tcPr>
          <w:p w14:paraId="5DBF8036">
            <w:pPr>
              <w:spacing w:line="380" w:lineRule="atLeast"/>
              <w:jc w:val="center"/>
              <w:rPr>
                <w:rFonts w:hint="eastAsia" w:ascii="Times New Roman" w:hAnsi="Times New Roman" w:eastAsia="宋体" w:cs="Times New Roman"/>
                <w:color w:val="auto"/>
                <w:szCs w:val="21"/>
                <w:lang w:val="en-US" w:eastAsia="zh-CN"/>
              </w:rPr>
            </w:pPr>
          </w:p>
          <w:p w14:paraId="214D32B1">
            <w:pPr>
              <w:spacing w:line="380" w:lineRule="atLeast"/>
              <w:jc w:val="center"/>
              <w:rPr>
                <w:rFonts w:hint="eastAsia" w:ascii="Times New Roman" w:hAnsi="Times New Roman" w:eastAsia="宋体" w:cs="Times New Roman"/>
                <w:color w:val="auto"/>
                <w:szCs w:val="21"/>
                <w:lang w:val="en-US" w:eastAsia="zh-CN"/>
              </w:rPr>
            </w:pPr>
          </w:p>
          <w:p w14:paraId="527FB723">
            <w:pPr>
              <w:spacing w:line="380" w:lineRule="atLeas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val="en-US" w:eastAsia="zh-CN"/>
              </w:rPr>
              <w:t>商品质量保障方案</w:t>
            </w:r>
          </w:p>
        </w:tc>
        <w:tc>
          <w:tcPr>
            <w:tcW w:w="892" w:type="dxa"/>
          </w:tcPr>
          <w:p w14:paraId="6C8AA94B">
            <w:pPr>
              <w:spacing w:line="380" w:lineRule="atLeast"/>
              <w:jc w:val="center"/>
              <w:rPr>
                <w:rFonts w:hint="eastAsia" w:ascii="Times New Roman" w:hAnsi="Times New Roman" w:eastAsia="宋体" w:cs="Times New Roman"/>
                <w:color w:val="auto"/>
                <w:szCs w:val="21"/>
                <w:lang w:val="en-US" w:eastAsia="zh-CN"/>
              </w:rPr>
            </w:pPr>
          </w:p>
          <w:p w14:paraId="4DABA4D7">
            <w:pPr>
              <w:spacing w:line="380" w:lineRule="atLeast"/>
              <w:jc w:val="center"/>
              <w:rPr>
                <w:rFonts w:hint="eastAsia" w:ascii="Times New Roman" w:hAnsi="Times New Roman" w:eastAsia="宋体" w:cs="Times New Roman"/>
                <w:color w:val="auto"/>
                <w:szCs w:val="21"/>
                <w:lang w:val="en-US" w:eastAsia="zh-CN"/>
              </w:rPr>
            </w:pPr>
          </w:p>
          <w:p w14:paraId="15D7320F">
            <w:pPr>
              <w:spacing w:line="380" w:lineRule="atLeas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10分</w:t>
            </w:r>
          </w:p>
        </w:tc>
        <w:tc>
          <w:tcPr>
            <w:tcW w:w="4008" w:type="dxa"/>
            <w:vAlign w:val="center"/>
          </w:tcPr>
          <w:p w14:paraId="59A3AFB4">
            <w:pPr>
              <w:spacing w:line="380" w:lineRule="atLeast"/>
              <w:jc w:val="left"/>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根据供应商提供的所销售商品质量保障方案进行评分。包括但不限于进货渠道正规、进出货记录完整，临期、到期商品处理等，得基本分6分。根据进货渠道，商品处理的情况酌情加0-4分，未提供的不得分。</w:t>
            </w:r>
          </w:p>
        </w:tc>
      </w:tr>
      <w:tr w14:paraId="2C35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5" w:type="dxa"/>
            <w:vMerge w:val="continue"/>
            <w:vAlign w:val="center"/>
          </w:tcPr>
          <w:p w14:paraId="2CBA286A">
            <w:pPr>
              <w:widowControl/>
              <w:jc w:val="center"/>
              <w:textAlignment w:val="center"/>
              <w:rPr>
                <w:rFonts w:hint="default" w:ascii="Times New Roman" w:hAnsi="Times New Roman" w:eastAsia="宋体" w:cs="Times New Roman"/>
                <w:lang w:val="en-US" w:eastAsia="zh-CN"/>
              </w:rPr>
            </w:pPr>
          </w:p>
        </w:tc>
        <w:tc>
          <w:tcPr>
            <w:tcW w:w="885" w:type="dxa"/>
            <w:vMerge w:val="continue"/>
            <w:vAlign w:val="center"/>
          </w:tcPr>
          <w:p w14:paraId="15755621">
            <w:pPr>
              <w:widowControl/>
              <w:jc w:val="left"/>
              <w:textAlignment w:val="center"/>
              <w:rPr>
                <w:rFonts w:hint="default" w:ascii="Times New Roman" w:hAnsi="Times New Roman" w:eastAsia="宋体" w:cs="Times New Roman"/>
                <w:lang w:val="en-US" w:eastAsia="zh-CN"/>
              </w:rPr>
            </w:pPr>
          </w:p>
        </w:tc>
        <w:tc>
          <w:tcPr>
            <w:tcW w:w="1478" w:type="dxa"/>
            <w:shd w:val="clear" w:color="auto" w:fill="auto"/>
            <w:vAlign w:val="center"/>
          </w:tcPr>
          <w:p w14:paraId="26D05CC5">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服务响应及售后方案</w:t>
            </w:r>
          </w:p>
        </w:tc>
        <w:tc>
          <w:tcPr>
            <w:tcW w:w="892" w:type="dxa"/>
            <w:shd w:val="clear" w:color="auto" w:fill="auto"/>
            <w:vAlign w:val="center"/>
          </w:tcPr>
          <w:p w14:paraId="23CD6AD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10分</w:t>
            </w:r>
          </w:p>
        </w:tc>
        <w:tc>
          <w:tcPr>
            <w:tcW w:w="4008" w:type="dxa"/>
            <w:shd w:val="clear" w:color="auto" w:fill="auto"/>
            <w:vAlign w:val="center"/>
          </w:tcPr>
          <w:p w14:paraId="06254656">
            <w:pPr>
              <w:widowControl w:val="0"/>
              <w:numPr>
                <w:ilvl w:val="0"/>
                <w:numId w:val="0"/>
              </w:numPr>
              <w:ind w:left="0" w:leftChars="0" w:firstLine="0" w:firstLineChars="0"/>
              <w:jc w:val="both"/>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根据供应商提供的所销售商品服务响应及售后方案进行评分。包括但不限于供货时间、补货响应时间，投诉处理等得基本分6分。根据供货时间能满足服务区高峰时段需求，补货响应时间、投诉处理响应解决等情况，酌情加0-4分。未提供的不得分。</w:t>
            </w:r>
          </w:p>
        </w:tc>
      </w:tr>
      <w:tr w14:paraId="1EE4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065" w:type="dxa"/>
            <w:vAlign w:val="center"/>
          </w:tcPr>
          <w:p w14:paraId="34ED60EA">
            <w:pPr>
              <w:spacing w:line="380" w:lineRule="atLeast"/>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报价</w:t>
            </w:r>
          </w:p>
        </w:tc>
        <w:tc>
          <w:tcPr>
            <w:tcW w:w="885" w:type="dxa"/>
            <w:vAlign w:val="center"/>
          </w:tcPr>
          <w:p w14:paraId="41E2D21F">
            <w:pPr>
              <w:spacing w:line="380" w:lineRule="atLeast"/>
              <w:rPr>
                <w:rFonts w:ascii="Times New Roman" w:hAnsi="Times New Roman" w:eastAsia="宋体" w:cs="Times New Roman"/>
              </w:rPr>
            </w:pPr>
            <w:r>
              <w:rPr>
                <w:rFonts w:hint="eastAsia" w:ascii="Times New Roman" w:hAnsi="Times New Roman" w:eastAsia="宋体" w:cs="Times New Roman"/>
                <w:color w:val="auto"/>
                <w:szCs w:val="21"/>
                <w:lang w:val="en-US" w:eastAsia="zh-CN"/>
              </w:rPr>
              <w:t>40分</w:t>
            </w:r>
          </w:p>
        </w:tc>
        <w:tc>
          <w:tcPr>
            <w:tcW w:w="6378" w:type="dxa"/>
            <w:gridSpan w:val="3"/>
            <w:shd w:val="clear" w:color="auto" w:fill="auto"/>
          </w:tcPr>
          <w:p w14:paraId="417852E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（1）如果供应商评审价＞评审基准价，则评审价得分＝40－偏差率×100×E1； </w:t>
            </w:r>
          </w:p>
          <w:p w14:paraId="7007F97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（2）如果供应商的评审价≤评审基准价，则评审价得分＝40＋偏差率×100×E2；</w:t>
            </w:r>
          </w:p>
          <w:p w14:paraId="2E273A8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其中：E1是评审价每高于评审基准价一个百分点的扣分值；E2是评审价每低于评审基准价一个百分点的扣分值。</w:t>
            </w:r>
          </w:p>
          <w:p w14:paraId="6AAB4989">
            <w:pPr>
              <w:keepNext w:val="0"/>
              <w:keepLines w:val="0"/>
              <w:widowControl/>
              <w:suppressLineNumbers w:val="0"/>
              <w:jc w:val="left"/>
              <w:rPr>
                <w:rFonts w:hint="eastAsia" w:ascii="宋体" w:hAnsi="宋体" w:eastAsia="宋体" w:cs="宋体"/>
                <w:b w:val="0"/>
                <w:bCs w:val="0"/>
                <w:color w:val="000000"/>
                <w:sz w:val="21"/>
                <w:szCs w:val="21"/>
                <w:lang w:val="en-US" w:eastAsia="zh-CN"/>
              </w:rPr>
            </w:pPr>
            <w:r>
              <w:rPr>
                <w:rFonts w:hint="eastAsia" w:ascii="宋体" w:hAnsi="宋体" w:eastAsia="宋体" w:cs="宋体"/>
                <w:color w:val="000000"/>
                <w:kern w:val="0"/>
                <w:sz w:val="21"/>
                <w:szCs w:val="21"/>
                <w:lang w:val="en-US" w:eastAsia="zh-CN" w:bidi="ar"/>
              </w:rPr>
              <w:t>E1=0.5，E2=0.3。</w:t>
            </w:r>
          </w:p>
        </w:tc>
      </w:tr>
    </w:tbl>
    <w:p w14:paraId="088765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5EBC5">
    <w:pPr>
      <w:widowControl/>
      <w:kinsoku w:val="0"/>
      <w:autoSpaceDE w:val="0"/>
      <w:autoSpaceDN w:val="0"/>
      <w:adjustRightInd w:val="0"/>
      <w:snapToGrid w:val="0"/>
      <w:spacing w:line="176" w:lineRule="auto"/>
      <w:ind w:left="4724"/>
      <w:jc w:val="left"/>
      <w:textAlignment w:val="baseline"/>
      <w:rPr>
        <w:rFonts w:ascii="Times New Roman" w:hAnsi="Times New Roman" w:eastAsia="Times New Roman" w:cs="Times New Roman"/>
        <w:snapToGrid w:val="0"/>
        <w:color w:val="000000"/>
        <w:kern w:val="0"/>
        <w:sz w:val="21"/>
        <w:szCs w:val="21"/>
        <w:lang w:eastAsia="en-US"/>
      </w:rPr>
    </w:pPr>
    <w:r>
      <w:rPr>
        <w:rFonts w:ascii="Calibri" w:hAnsi="Calibri" w:eastAsia="宋体" w:cs="Times New Roman"/>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0400B9">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50400B9">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60F3"/>
    <w:rsid w:val="00C4523F"/>
    <w:rsid w:val="043079EB"/>
    <w:rsid w:val="18ED68BF"/>
    <w:rsid w:val="2483789B"/>
    <w:rsid w:val="25FE400E"/>
    <w:rsid w:val="2B3E6C5B"/>
    <w:rsid w:val="2FC46C32"/>
    <w:rsid w:val="2FE64327"/>
    <w:rsid w:val="330B48C6"/>
    <w:rsid w:val="3DF116B7"/>
    <w:rsid w:val="4520709B"/>
    <w:rsid w:val="48CC6426"/>
    <w:rsid w:val="4BBB7424"/>
    <w:rsid w:val="4FCB44CC"/>
    <w:rsid w:val="58610E3C"/>
    <w:rsid w:val="5FDB1B0B"/>
    <w:rsid w:val="61B3512B"/>
    <w:rsid w:val="663674DB"/>
    <w:rsid w:val="69A0745B"/>
    <w:rsid w:val="6C3D402C"/>
    <w:rsid w:val="78C16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4659</Words>
  <Characters>4985</Characters>
  <Lines>0</Lines>
  <Paragraphs>0</Paragraphs>
  <TotalTime>4</TotalTime>
  <ScaleCrop>false</ScaleCrop>
  <LinksUpToDate>false</LinksUpToDate>
  <CharactersWithSpaces>5042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2026-01-22T06:49:00Z</dcterms:created>
  <dc:creator>ywb</dc:creator>
  <cp:lastModifiedBy> </cp:lastModifiedBy>
  <cp:lastPrinted>2026-01-22T07:23:00Z</cp:lastPrinted>
  <dcterms:modified xsi:type="dcterms:W3CDTF">2026-01-23T09:46:03Z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eyJoZGlkIjoiOWI5YzBlOTcyMzIzYTdhNTk5MzdkZTdmNDA4N2JlYWMiLCJ1c2VySWQiOiIxMjEwMzA4NDE5In0=</vt:lpwstr>
  </property>
  <property fmtid="{D5CDD505-2E9C-101B-9397-08002B2CF9AE}" pid="4" name="ICV">
    <vt:lpwstr>B3FA1972AB9346CBA26D45DBD6195563_12</vt:lpwstr>
  </property>
</Properties>
</file>